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E683" w14:textId="5EF0F220" w:rsidR="009C2311" w:rsidRDefault="009C2311" w:rsidP="009C2311">
      <w:pPr>
        <w:widowControl w:val="0"/>
        <w:overflowPunct w:val="0"/>
        <w:autoSpaceDE w:val="0"/>
        <w:autoSpaceDN w:val="0"/>
        <w:adjustRightInd w:val="0"/>
        <w:jc w:val="center"/>
        <w:textAlignment w:val="baseline"/>
        <w:rPr>
          <w:rFonts w:eastAsia="Times New Roman" w:cs="Arial"/>
          <w:color w:val="auto"/>
          <w:sz w:val="24"/>
        </w:rPr>
      </w:pPr>
    </w:p>
    <w:p w14:paraId="04F4047D" w14:textId="77777777" w:rsidR="009C2311" w:rsidRDefault="009C2311" w:rsidP="009C2311">
      <w:pPr>
        <w:widowControl w:val="0"/>
        <w:overflowPunct w:val="0"/>
        <w:autoSpaceDE w:val="0"/>
        <w:autoSpaceDN w:val="0"/>
        <w:adjustRightInd w:val="0"/>
        <w:textAlignment w:val="baseline"/>
        <w:rPr>
          <w:rFonts w:eastAsia="Times New Roman" w:cs="Arial"/>
          <w:b/>
          <w:color w:val="auto"/>
          <w:sz w:val="24"/>
        </w:rPr>
      </w:pPr>
    </w:p>
    <w:p w14:paraId="205CDB2C" w14:textId="48AC62B3" w:rsidR="009C2311" w:rsidRDefault="00760E21" w:rsidP="009C2311">
      <w:pPr>
        <w:widowControl w:val="0"/>
        <w:overflowPunct w:val="0"/>
        <w:autoSpaceDE w:val="0"/>
        <w:autoSpaceDN w:val="0"/>
        <w:adjustRightInd w:val="0"/>
        <w:jc w:val="center"/>
        <w:textAlignment w:val="baseline"/>
        <w:rPr>
          <w:rFonts w:eastAsia="Times New Roman" w:cs="Arial"/>
          <w:color w:val="auto"/>
          <w:sz w:val="28"/>
          <w:szCs w:val="28"/>
        </w:rPr>
      </w:pPr>
      <w:r>
        <w:rPr>
          <w:rFonts w:eastAsia="Times New Roman" w:cs="Arial"/>
          <w:b/>
          <w:color w:val="auto"/>
          <w:sz w:val="28"/>
          <w:szCs w:val="28"/>
        </w:rPr>
        <w:t xml:space="preserve">First Tier Tribunal </w:t>
      </w:r>
      <w:r w:rsidR="009C2311">
        <w:rPr>
          <w:rFonts w:eastAsia="Times New Roman" w:cs="Arial"/>
          <w:b/>
          <w:color w:val="auto"/>
          <w:sz w:val="28"/>
          <w:szCs w:val="28"/>
        </w:rPr>
        <w:t xml:space="preserve">Care Standards </w:t>
      </w:r>
    </w:p>
    <w:p w14:paraId="2550DD76" w14:textId="77777777" w:rsidR="009C2311" w:rsidRDefault="009C2311" w:rsidP="009C2311">
      <w:pPr>
        <w:widowControl w:val="0"/>
        <w:overflowPunct w:val="0"/>
        <w:autoSpaceDE w:val="0"/>
        <w:autoSpaceDN w:val="0"/>
        <w:adjustRightInd w:val="0"/>
        <w:jc w:val="center"/>
        <w:textAlignment w:val="baseline"/>
        <w:outlineLvl w:val="0"/>
        <w:rPr>
          <w:rFonts w:eastAsia="Times New Roman" w:cs="Arial"/>
          <w:b/>
          <w:color w:val="auto"/>
          <w:sz w:val="24"/>
        </w:rPr>
      </w:pPr>
    </w:p>
    <w:p w14:paraId="2A4CAD5E" w14:textId="77777777" w:rsidR="009C2311" w:rsidRDefault="009C2311" w:rsidP="009C2311">
      <w:pPr>
        <w:widowControl w:val="0"/>
        <w:overflowPunct w:val="0"/>
        <w:autoSpaceDE w:val="0"/>
        <w:autoSpaceDN w:val="0"/>
        <w:adjustRightInd w:val="0"/>
        <w:jc w:val="center"/>
        <w:textAlignment w:val="baseline"/>
        <w:rPr>
          <w:rFonts w:eastAsia="Times New Roman" w:cs="Arial"/>
          <w:b/>
          <w:color w:val="auto"/>
          <w:sz w:val="24"/>
        </w:rPr>
      </w:pPr>
      <w:r>
        <w:rPr>
          <w:rFonts w:eastAsia="Times New Roman" w:cs="Arial"/>
          <w:b/>
          <w:color w:val="auto"/>
          <w:sz w:val="24"/>
        </w:rPr>
        <w:t>The Tribunal Procedure (First-tier Tribunal) (Health, Education and Social Care) Rules 2008</w:t>
      </w:r>
    </w:p>
    <w:p w14:paraId="6386C741" w14:textId="77777777" w:rsidR="00E62815" w:rsidRPr="00E62815" w:rsidRDefault="00E62815" w:rsidP="00E62815">
      <w:pPr>
        <w:jc w:val="center"/>
        <w:rPr>
          <w:rFonts w:cs="Arial"/>
          <w:b/>
          <w:sz w:val="24"/>
        </w:rPr>
      </w:pPr>
    </w:p>
    <w:p w14:paraId="4496EB72" w14:textId="3A7E9F00" w:rsidR="00E62815" w:rsidRDefault="00E62815" w:rsidP="00E62815">
      <w:pPr>
        <w:jc w:val="right"/>
        <w:rPr>
          <w:rFonts w:cs="Arial"/>
          <w:b/>
          <w:sz w:val="24"/>
        </w:rPr>
      </w:pPr>
      <w:r w:rsidRPr="00E62815">
        <w:rPr>
          <w:rFonts w:cs="Arial"/>
          <w:b/>
          <w:sz w:val="24"/>
        </w:rPr>
        <w:t>2025-01</w:t>
      </w:r>
      <w:r w:rsidR="006D64F5">
        <w:rPr>
          <w:rFonts w:cs="Arial"/>
          <w:b/>
          <w:sz w:val="24"/>
        </w:rPr>
        <w:t>562</w:t>
      </w:r>
      <w:r w:rsidRPr="00E62815">
        <w:rPr>
          <w:rFonts w:cs="Arial"/>
          <w:b/>
          <w:sz w:val="24"/>
        </w:rPr>
        <w:t>.EY-SUS</w:t>
      </w:r>
    </w:p>
    <w:p w14:paraId="08C11CBE" w14:textId="762BE628" w:rsidR="00AA536A" w:rsidRPr="00E62815" w:rsidRDefault="00AA536A" w:rsidP="00E62815">
      <w:pPr>
        <w:jc w:val="right"/>
        <w:rPr>
          <w:rFonts w:cs="Arial"/>
          <w:b/>
          <w:sz w:val="24"/>
        </w:rPr>
      </w:pPr>
      <w:r>
        <w:rPr>
          <w:rFonts w:cs="Arial"/>
          <w:b/>
          <w:sz w:val="24"/>
        </w:rPr>
        <w:t xml:space="preserve">Neutral Citation Number: </w:t>
      </w:r>
      <w:r w:rsidRPr="00AA536A">
        <w:rPr>
          <w:rFonts w:cs="Arial"/>
          <w:b/>
          <w:sz w:val="24"/>
        </w:rPr>
        <w:t>[2025] UKFTT 01026 (HESC)</w:t>
      </w:r>
    </w:p>
    <w:p w14:paraId="6CD33E4A" w14:textId="77777777" w:rsidR="00E62815" w:rsidRPr="00E62815" w:rsidRDefault="00E62815" w:rsidP="00E62815">
      <w:pPr>
        <w:jc w:val="center"/>
        <w:rPr>
          <w:rFonts w:cs="Arial"/>
          <w:b/>
          <w:sz w:val="24"/>
        </w:rPr>
      </w:pPr>
    </w:p>
    <w:p w14:paraId="481B9F43" w14:textId="1452B28B" w:rsidR="00E62815" w:rsidRDefault="00E62815" w:rsidP="00760E21">
      <w:pPr>
        <w:jc w:val="center"/>
        <w:rPr>
          <w:rFonts w:cs="Arial"/>
          <w:b/>
          <w:sz w:val="24"/>
        </w:rPr>
      </w:pPr>
      <w:r w:rsidRPr="00E62815">
        <w:rPr>
          <w:rFonts w:cs="Arial"/>
          <w:b/>
          <w:sz w:val="24"/>
        </w:rPr>
        <w:t>Heard on</w:t>
      </w:r>
      <w:r w:rsidR="006D64F5">
        <w:rPr>
          <w:rFonts w:cs="Arial"/>
          <w:b/>
          <w:sz w:val="24"/>
        </w:rPr>
        <w:t xml:space="preserve"> the papers on</w:t>
      </w:r>
      <w:r w:rsidRPr="00E62815">
        <w:rPr>
          <w:rFonts w:cs="Arial"/>
          <w:b/>
          <w:sz w:val="24"/>
        </w:rPr>
        <w:t xml:space="preserve"> </w:t>
      </w:r>
      <w:r w:rsidR="006D64F5">
        <w:rPr>
          <w:rFonts w:cs="Arial"/>
          <w:b/>
          <w:sz w:val="24"/>
        </w:rPr>
        <w:t>22</w:t>
      </w:r>
      <w:r w:rsidRPr="00E62815">
        <w:rPr>
          <w:rFonts w:cs="Arial"/>
          <w:b/>
          <w:sz w:val="24"/>
        </w:rPr>
        <w:t xml:space="preserve"> </w:t>
      </w:r>
      <w:r w:rsidR="006D64F5">
        <w:rPr>
          <w:rFonts w:cs="Arial"/>
          <w:b/>
          <w:sz w:val="24"/>
        </w:rPr>
        <w:t xml:space="preserve">August </w:t>
      </w:r>
      <w:r w:rsidRPr="00E62815">
        <w:rPr>
          <w:rFonts w:cs="Arial"/>
          <w:b/>
          <w:sz w:val="24"/>
        </w:rPr>
        <w:t>2025 remotely via video</w:t>
      </w:r>
    </w:p>
    <w:p w14:paraId="61DFBFE3" w14:textId="77777777" w:rsidR="00EF0D92" w:rsidRPr="00E62815" w:rsidRDefault="00EF0D92" w:rsidP="00E62815">
      <w:pPr>
        <w:jc w:val="center"/>
        <w:rPr>
          <w:rFonts w:cs="Arial"/>
          <w:b/>
          <w:sz w:val="24"/>
        </w:rPr>
      </w:pPr>
    </w:p>
    <w:p w14:paraId="5887AFA0" w14:textId="77777777" w:rsidR="00E62815" w:rsidRPr="00E62815" w:rsidRDefault="00E62815" w:rsidP="00E62815">
      <w:pPr>
        <w:jc w:val="center"/>
        <w:rPr>
          <w:rFonts w:cs="Arial"/>
          <w:b/>
          <w:sz w:val="24"/>
        </w:rPr>
      </w:pPr>
      <w:r w:rsidRPr="00E62815">
        <w:rPr>
          <w:rFonts w:cs="Arial"/>
          <w:b/>
          <w:sz w:val="24"/>
        </w:rPr>
        <w:t>BEFORE</w:t>
      </w:r>
    </w:p>
    <w:p w14:paraId="686970ED" w14:textId="77777777" w:rsidR="00E62815" w:rsidRPr="00E62815" w:rsidRDefault="00E62815" w:rsidP="00E62815">
      <w:pPr>
        <w:jc w:val="center"/>
        <w:rPr>
          <w:rFonts w:cs="Arial"/>
          <w:b/>
          <w:sz w:val="24"/>
        </w:rPr>
      </w:pPr>
      <w:r w:rsidRPr="00E62815">
        <w:rPr>
          <w:rFonts w:cs="Arial"/>
          <w:b/>
          <w:sz w:val="24"/>
        </w:rPr>
        <w:t>Mr SJW Lewis (Judicial Member)</w:t>
      </w:r>
    </w:p>
    <w:p w14:paraId="301E3234" w14:textId="21AF10BA" w:rsidR="00E62815" w:rsidRPr="00E62815" w:rsidRDefault="006D64F5" w:rsidP="00E62815">
      <w:pPr>
        <w:jc w:val="center"/>
        <w:rPr>
          <w:rFonts w:cs="Arial"/>
          <w:b/>
          <w:sz w:val="24"/>
        </w:rPr>
      </w:pPr>
      <w:r>
        <w:rPr>
          <w:rFonts w:cs="Arial"/>
          <w:b/>
          <w:sz w:val="24"/>
        </w:rPr>
        <w:t xml:space="preserve">Dr GK Sharma </w:t>
      </w:r>
      <w:r w:rsidR="00E62815" w:rsidRPr="00E62815">
        <w:rPr>
          <w:rFonts w:cs="Arial"/>
          <w:b/>
          <w:sz w:val="24"/>
        </w:rPr>
        <w:t>(Specialist Member)</w:t>
      </w:r>
    </w:p>
    <w:p w14:paraId="1178C345" w14:textId="77777777" w:rsidR="00E62815" w:rsidRPr="00E62815" w:rsidRDefault="00E62815" w:rsidP="00E62815">
      <w:pPr>
        <w:rPr>
          <w:rFonts w:cs="Arial"/>
          <w:b/>
          <w:sz w:val="24"/>
        </w:rPr>
      </w:pPr>
    </w:p>
    <w:p w14:paraId="60E7E164" w14:textId="77777777" w:rsidR="00E62815" w:rsidRPr="00E62815" w:rsidRDefault="00E62815" w:rsidP="00E62815">
      <w:pPr>
        <w:rPr>
          <w:rFonts w:cs="Arial"/>
          <w:b/>
          <w:sz w:val="24"/>
        </w:rPr>
      </w:pPr>
    </w:p>
    <w:p w14:paraId="3ABEA36D" w14:textId="77777777" w:rsidR="00E62815" w:rsidRPr="00E62815" w:rsidRDefault="00E62815" w:rsidP="00E62815">
      <w:pPr>
        <w:rPr>
          <w:rFonts w:cs="Arial"/>
          <w:b/>
          <w:sz w:val="24"/>
        </w:rPr>
      </w:pPr>
      <w:r w:rsidRPr="00E62815">
        <w:rPr>
          <w:rFonts w:cs="Arial"/>
          <w:b/>
          <w:sz w:val="24"/>
        </w:rPr>
        <w:t>BETWEEN:</w:t>
      </w:r>
    </w:p>
    <w:p w14:paraId="3E906E3B" w14:textId="33D6DF5D" w:rsidR="00E62815" w:rsidRPr="00E62815" w:rsidRDefault="00EC2FEE" w:rsidP="00E62815">
      <w:pPr>
        <w:jc w:val="center"/>
        <w:rPr>
          <w:b/>
          <w:bCs/>
          <w:sz w:val="24"/>
        </w:rPr>
      </w:pPr>
      <w:r>
        <w:rPr>
          <w:b/>
          <w:bCs/>
          <w:sz w:val="24"/>
        </w:rPr>
        <w:t>TRANSITION CARE PETERBOROUGH LTD</w:t>
      </w:r>
    </w:p>
    <w:p w14:paraId="45E19AE9" w14:textId="77777777" w:rsidR="00E62815" w:rsidRPr="00E62815" w:rsidRDefault="00E62815" w:rsidP="00E62815">
      <w:pPr>
        <w:jc w:val="right"/>
        <w:rPr>
          <w:rFonts w:cs="Arial"/>
          <w:b/>
          <w:sz w:val="24"/>
          <w:u w:val="single"/>
        </w:rPr>
      </w:pPr>
      <w:r w:rsidRPr="00E62815">
        <w:rPr>
          <w:rFonts w:cs="Arial"/>
          <w:b/>
          <w:sz w:val="24"/>
          <w:u w:val="single"/>
        </w:rPr>
        <w:t>Appellant</w:t>
      </w:r>
    </w:p>
    <w:p w14:paraId="7B00AF70" w14:textId="77777777" w:rsidR="00E62815" w:rsidRPr="00E62815" w:rsidRDefault="00E62815" w:rsidP="00E62815">
      <w:pPr>
        <w:jc w:val="center"/>
        <w:rPr>
          <w:rFonts w:cs="Arial"/>
          <w:b/>
          <w:sz w:val="24"/>
        </w:rPr>
      </w:pPr>
      <w:r w:rsidRPr="00E62815">
        <w:rPr>
          <w:rFonts w:cs="Arial"/>
          <w:b/>
          <w:sz w:val="24"/>
        </w:rPr>
        <w:t>v</w:t>
      </w:r>
    </w:p>
    <w:p w14:paraId="645750E0" w14:textId="77777777" w:rsidR="00E62815" w:rsidRPr="00E62815" w:rsidRDefault="00E62815" w:rsidP="00E62815">
      <w:pPr>
        <w:jc w:val="center"/>
        <w:rPr>
          <w:rFonts w:cs="Arial"/>
          <w:b/>
          <w:sz w:val="24"/>
        </w:rPr>
      </w:pPr>
    </w:p>
    <w:p w14:paraId="04C67E84" w14:textId="0DBBF36F" w:rsidR="00E62815" w:rsidRPr="00E62815" w:rsidRDefault="00EC2FEE" w:rsidP="00E62815">
      <w:pPr>
        <w:jc w:val="center"/>
        <w:rPr>
          <w:rFonts w:cs="Arial"/>
          <w:b/>
          <w:sz w:val="24"/>
        </w:rPr>
      </w:pPr>
      <w:r>
        <w:rPr>
          <w:rFonts w:cs="Arial"/>
          <w:b/>
          <w:sz w:val="24"/>
        </w:rPr>
        <w:t>OFSTED</w:t>
      </w:r>
    </w:p>
    <w:p w14:paraId="4DF038F6" w14:textId="77777777" w:rsidR="00E62815" w:rsidRPr="00E62815" w:rsidRDefault="00E62815" w:rsidP="00E62815">
      <w:pPr>
        <w:jc w:val="right"/>
        <w:rPr>
          <w:rFonts w:cs="Arial"/>
          <w:b/>
          <w:sz w:val="24"/>
          <w:u w:val="single"/>
        </w:rPr>
      </w:pPr>
      <w:r w:rsidRPr="00E62815">
        <w:rPr>
          <w:rFonts w:cs="Arial"/>
          <w:b/>
          <w:sz w:val="24"/>
          <w:u w:val="single"/>
        </w:rPr>
        <w:t>Respondent</w:t>
      </w:r>
    </w:p>
    <w:p w14:paraId="688C44CC" w14:textId="77777777" w:rsidR="009C2311" w:rsidRDefault="009C2311" w:rsidP="007A3FD5">
      <w:pPr>
        <w:jc w:val="both"/>
        <w:rPr>
          <w:rFonts w:cs="Arial"/>
          <w:b/>
          <w:color w:val="auto"/>
          <w:sz w:val="24"/>
        </w:rPr>
      </w:pPr>
    </w:p>
    <w:p w14:paraId="01E5DD56" w14:textId="77777777" w:rsidR="00EF0D92" w:rsidRDefault="00EF0D92" w:rsidP="007A3FD5">
      <w:pPr>
        <w:jc w:val="both"/>
        <w:rPr>
          <w:rFonts w:cs="Arial"/>
          <w:b/>
          <w:color w:val="auto"/>
          <w:sz w:val="24"/>
        </w:rPr>
      </w:pPr>
    </w:p>
    <w:p w14:paraId="68384496" w14:textId="77777777" w:rsidR="009C2311" w:rsidRPr="005E43B8" w:rsidRDefault="009C2311" w:rsidP="007A3FD5">
      <w:pPr>
        <w:pStyle w:val="Heading3A"/>
        <w:rPr>
          <w:rFonts w:ascii="Arial" w:hAnsi="Arial" w:cs="Arial"/>
          <w:b/>
          <w:color w:val="auto"/>
          <w:szCs w:val="24"/>
          <w:u w:val="single"/>
        </w:rPr>
      </w:pPr>
      <w:r w:rsidRPr="005E43B8">
        <w:rPr>
          <w:rFonts w:ascii="Arial" w:hAnsi="Arial" w:cs="Arial"/>
          <w:b/>
          <w:color w:val="auto"/>
          <w:szCs w:val="24"/>
          <w:u w:val="single"/>
        </w:rPr>
        <w:t>DECISION</w:t>
      </w:r>
    </w:p>
    <w:p w14:paraId="19842E21" w14:textId="77777777" w:rsidR="00EF0D92" w:rsidRDefault="00EF0D92" w:rsidP="005E43B8">
      <w:pPr>
        <w:spacing w:line="288" w:lineRule="auto"/>
        <w:rPr>
          <w:rFonts w:cs="Arial"/>
          <w:b/>
          <w:sz w:val="24"/>
          <w:u w:val="single"/>
        </w:rPr>
      </w:pPr>
    </w:p>
    <w:p w14:paraId="53494E33" w14:textId="3B4E0A3E" w:rsidR="007275FA" w:rsidRPr="00A4287F" w:rsidRDefault="007275FA" w:rsidP="005E43B8">
      <w:pPr>
        <w:spacing w:line="288" w:lineRule="auto"/>
        <w:rPr>
          <w:rFonts w:cs="Arial"/>
          <w:b/>
          <w:sz w:val="24"/>
          <w:u w:val="single"/>
        </w:rPr>
      </w:pPr>
      <w:r w:rsidRPr="00A4287F">
        <w:rPr>
          <w:rFonts w:cs="Arial"/>
          <w:b/>
          <w:sz w:val="24"/>
          <w:u w:val="single"/>
        </w:rPr>
        <w:t>The App</w:t>
      </w:r>
      <w:r w:rsidR="007A3FD5" w:rsidRPr="00A4287F">
        <w:rPr>
          <w:rFonts w:cs="Arial"/>
          <w:b/>
          <w:sz w:val="24"/>
          <w:u w:val="single"/>
        </w:rPr>
        <w:t>eal</w:t>
      </w:r>
    </w:p>
    <w:p w14:paraId="4458173D" w14:textId="77777777" w:rsidR="005448C5" w:rsidRPr="005E43B8" w:rsidRDefault="005448C5" w:rsidP="005E43B8">
      <w:pPr>
        <w:spacing w:line="288" w:lineRule="auto"/>
        <w:rPr>
          <w:rFonts w:eastAsia="Times New Roman" w:cs="Arial"/>
          <w:b/>
          <w:color w:val="auto"/>
          <w:sz w:val="24"/>
        </w:rPr>
      </w:pPr>
    </w:p>
    <w:p w14:paraId="4312F26C" w14:textId="360B7E17" w:rsidR="006D2C9F" w:rsidRPr="006D2C9F" w:rsidRDefault="005E00CE" w:rsidP="00E270B1">
      <w:pPr>
        <w:pStyle w:val="ListParagraph"/>
        <w:numPr>
          <w:ilvl w:val="0"/>
          <w:numId w:val="2"/>
        </w:numPr>
        <w:tabs>
          <w:tab w:val="left" w:pos="426"/>
        </w:tabs>
        <w:spacing w:line="288" w:lineRule="auto"/>
        <w:ind w:left="426" w:hanging="426"/>
        <w:jc w:val="both"/>
        <w:rPr>
          <w:rFonts w:cs="Arial"/>
          <w:szCs w:val="24"/>
        </w:rPr>
      </w:pPr>
      <w:r>
        <w:rPr>
          <w:rFonts w:cs="Arial"/>
          <w:szCs w:val="24"/>
        </w:rPr>
        <w:t>The Appellant</w:t>
      </w:r>
      <w:r w:rsidR="00EC2FEE">
        <w:rPr>
          <w:rFonts w:cs="Arial"/>
          <w:szCs w:val="24"/>
        </w:rPr>
        <w:t>, an organisation registered under the Care Standards Act 2000 (“the Act”) to carry on a supported accommodation</w:t>
      </w:r>
      <w:r w:rsidR="00CE0734" w:rsidRPr="005E43B8">
        <w:rPr>
          <w:rFonts w:cs="Arial"/>
          <w:szCs w:val="24"/>
        </w:rPr>
        <w:t xml:space="preserve"> </w:t>
      </w:r>
      <w:r w:rsidR="00EC2FEE">
        <w:rPr>
          <w:rFonts w:cs="Arial"/>
          <w:szCs w:val="24"/>
        </w:rPr>
        <w:t xml:space="preserve">service in Peterborough, </w:t>
      </w:r>
      <w:r w:rsidR="00CE0734" w:rsidRPr="005E43B8">
        <w:rPr>
          <w:rFonts w:cs="Arial"/>
          <w:szCs w:val="24"/>
        </w:rPr>
        <w:t>br</w:t>
      </w:r>
      <w:r w:rsidR="00E270B1">
        <w:rPr>
          <w:rFonts w:cs="Arial"/>
          <w:szCs w:val="24"/>
        </w:rPr>
        <w:t>ings</w:t>
      </w:r>
      <w:r w:rsidR="000D49E5" w:rsidRPr="005E43B8">
        <w:rPr>
          <w:rFonts w:cs="Arial"/>
          <w:szCs w:val="24"/>
        </w:rPr>
        <w:t xml:space="preserve"> this</w:t>
      </w:r>
      <w:r w:rsidR="00CE0734" w:rsidRPr="005E43B8">
        <w:rPr>
          <w:rFonts w:cs="Arial"/>
          <w:szCs w:val="24"/>
        </w:rPr>
        <w:t xml:space="preserve"> appeal (“the Appeal”) against </w:t>
      </w:r>
      <w:r w:rsidR="000D49E5" w:rsidRPr="005E43B8">
        <w:rPr>
          <w:rFonts w:cs="Arial"/>
          <w:szCs w:val="24"/>
        </w:rPr>
        <w:t>a</w:t>
      </w:r>
      <w:r w:rsidR="00CE0734" w:rsidRPr="005E43B8">
        <w:rPr>
          <w:rFonts w:cs="Arial"/>
          <w:szCs w:val="24"/>
        </w:rPr>
        <w:t xml:space="preserve"> decision (“the Decision”) by</w:t>
      </w:r>
      <w:r w:rsidR="00422B89" w:rsidRPr="005E43B8">
        <w:rPr>
          <w:rFonts w:cs="Arial"/>
          <w:szCs w:val="24"/>
        </w:rPr>
        <w:t xml:space="preserve"> </w:t>
      </w:r>
      <w:r w:rsidR="00CE0734" w:rsidRPr="005E43B8">
        <w:rPr>
          <w:rFonts w:cs="Arial"/>
          <w:szCs w:val="24"/>
        </w:rPr>
        <w:t xml:space="preserve">the Respondent, set out in a written notice </w:t>
      </w:r>
      <w:r w:rsidR="00861D98">
        <w:rPr>
          <w:rFonts w:cs="Arial"/>
          <w:szCs w:val="24"/>
        </w:rPr>
        <w:t xml:space="preserve">of </w:t>
      </w:r>
      <w:r w:rsidR="00EC2FEE">
        <w:rPr>
          <w:rFonts w:cs="Arial"/>
          <w:szCs w:val="24"/>
        </w:rPr>
        <w:t>11 July 2025 (“the Notice)</w:t>
      </w:r>
      <w:r w:rsidR="00CE0734" w:rsidRPr="005E43B8">
        <w:rPr>
          <w:rFonts w:cs="Arial"/>
          <w:szCs w:val="24"/>
        </w:rPr>
        <w:t xml:space="preserve"> to</w:t>
      </w:r>
      <w:r w:rsidR="00EC2FEE">
        <w:rPr>
          <w:rFonts w:cs="Arial"/>
          <w:szCs w:val="24"/>
        </w:rPr>
        <w:t xml:space="preserve"> restrict accommodation, with immediate effect until 3 October 2025, </w:t>
      </w:r>
      <w:r w:rsidR="00EC2FEE">
        <w:rPr>
          <w:rFonts w:cs="Arial"/>
        </w:rPr>
        <w:t>under section 22B of the Act</w:t>
      </w:r>
      <w:r w:rsidR="00396B2A">
        <w:rPr>
          <w:rFonts w:cs="Arial"/>
        </w:rPr>
        <w:t xml:space="preserve"> (“the Restriction”)</w:t>
      </w:r>
      <w:r w:rsidR="00EC2FEE">
        <w:rPr>
          <w:rFonts w:cs="Arial"/>
        </w:rPr>
        <w:t>.</w:t>
      </w:r>
    </w:p>
    <w:p w14:paraId="1196E73B" w14:textId="77777777" w:rsidR="006D2C9F" w:rsidRPr="006D2C9F" w:rsidRDefault="006D2C9F" w:rsidP="006D2C9F">
      <w:pPr>
        <w:pStyle w:val="ListParagraph"/>
        <w:tabs>
          <w:tab w:val="left" w:pos="426"/>
        </w:tabs>
        <w:spacing w:line="288" w:lineRule="auto"/>
        <w:ind w:left="426"/>
        <w:jc w:val="both"/>
        <w:rPr>
          <w:rFonts w:cs="Arial"/>
          <w:szCs w:val="24"/>
        </w:rPr>
      </w:pPr>
    </w:p>
    <w:p w14:paraId="09674AF0" w14:textId="220AE446" w:rsidR="006D2C9F" w:rsidRPr="006D2C9F" w:rsidRDefault="006D2C9F" w:rsidP="006D2C9F">
      <w:pPr>
        <w:pStyle w:val="ListParagraph"/>
        <w:numPr>
          <w:ilvl w:val="0"/>
          <w:numId w:val="2"/>
        </w:numPr>
        <w:tabs>
          <w:tab w:val="left" w:pos="426"/>
        </w:tabs>
        <w:spacing w:line="288" w:lineRule="auto"/>
        <w:ind w:left="426" w:hanging="426"/>
        <w:jc w:val="both"/>
        <w:rPr>
          <w:rFonts w:cs="Arial"/>
          <w:szCs w:val="24"/>
        </w:rPr>
      </w:pPr>
      <w:r>
        <w:rPr>
          <w:rFonts w:cs="Arial"/>
          <w:szCs w:val="24"/>
        </w:rPr>
        <w:t>The Appellant had been able</w:t>
      </w:r>
      <w:r w:rsidR="00861D98">
        <w:rPr>
          <w:rFonts w:cs="Arial"/>
          <w:szCs w:val="24"/>
        </w:rPr>
        <w:t>,</w:t>
      </w:r>
      <w:r>
        <w:rPr>
          <w:rFonts w:cs="Arial"/>
          <w:szCs w:val="24"/>
        </w:rPr>
        <w:t xml:space="preserve"> prior to the Decision</w:t>
      </w:r>
      <w:r w:rsidR="00861D98">
        <w:rPr>
          <w:rFonts w:cs="Arial"/>
          <w:szCs w:val="24"/>
        </w:rPr>
        <w:t xml:space="preserve">, </w:t>
      </w:r>
      <w:r>
        <w:rPr>
          <w:rFonts w:cs="Arial"/>
          <w:szCs w:val="24"/>
        </w:rPr>
        <w:t>to</w:t>
      </w:r>
      <w:r w:rsidRPr="006D2C9F">
        <w:rPr>
          <w:rFonts w:cs="Arial"/>
        </w:rPr>
        <w:t xml:space="preserve"> accommodat</w:t>
      </w:r>
      <w:r>
        <w:rPr>
          <w:rFonts w:cs="Arial"/>
        </w:rPr>
        <w:t xml:space="preserve">e up to 13 </w:t>
      </w:r>
      <w:r w:rsidR="00861D98">
        <w:rPr>
          <w:rFonts w:cs="Arial"/>
        </w:rPr>
        <w:t>people,</w:t>
      </w:r>
      <w:r>
        <w:rPr>
          <w:rFonts w:cs="Arial"/>
        </w:rPr>
        <w:t xml:space="preserve"> in five sha</w:t>
      </w:r>
      <w:r w:rsidR="00861D98">
        <w:rPr>
          <w:rFonts w:cs="Arial"/>
        </w:rPr>
        <w:t>red or</w:t>
      </w:r>
      <w:r>
        <w:rPr>
          <w:rFonts w:cs="Arial"/>
        </w:rPr>
        <w:t xml:space="preserve"> group</w:t>
      </w:r>
      <w:r w:rsidR="00861D98">
        <w:rPr>
          <w:rFonts w:cs="Arial"/>
        </w:rPr>
        <w:t>-</w:t>
      </w:r>
      <w:r>
        <w:rPr>
          <w:rFonts w:cs="Arial"/>
        </w:rPr>
        <w:t>living premises</w:t>
      </w:r>
      <w:r w:rsidR="00861D98">
        <w:rPr>
          <w:rFonts w:cs="Arial"/>
        </w:rPr>
        <w:t>,</w:t>
      </w:r>
      <w:r>
        <w:rPr>
          <w:rFonts w:cs="Arial"/>
        </w:rPr>
        <w:t xml:space="preserve"> limited to</w:t>
      </w:r>
      <w:r w:rsidR="00861D98">
        <w:rPr>
          <w:rFonts w:cs="Arial"/>
        </w:rPr>
        <w:t xml:space="preserve"> accommodating </w:t>
      </w:r>
      <w:r>
        <w:rPr>
          <w:rFonts w:cs="Arial"/>
        </w:rPr>
        <w:t xml:space="preserve">looked-after children </w:t>
      </w:r>
      <w:r w:rsidR="00861D98">
        <w:rPr>
          <w:rFonts w:cs="Arial"/>
        </w:rPr>
        <w:t>or</w:t>
      </w:r>
      <w:r>
        <w:rPr>
          <w:rFonts w:cs="Arial"/>
        </w:rPr>
        <w:t xml:space="preserve"> care leavers.</w:t>
      </w:r>
    </w:p>
    <w:p w14:paraId="4D62695D" w14:textId="77777777" w:rsidR="00760E21" w:rsidRPr="006D2C9F" w:rsidRDefault="00760E21" w:rsidP="006D2C9F">
      <w:pPr>
        <w:pStyle w:val="ListParagraph"/>
        <w:tabs>
          <w:tab w:val="left" w:pos="426"/>
        </w:tabs>
        <w:spacing w:line="288" w:lineRule="auto"/>
        <w:ind w:left="426"/>
        <w:jc w:val="both"/>
        <w:rPr>
          <w:rFonts w:cs="Arial"/>
          <w:szCs w:val="24"/>
        </w:rPr>
      </w:pPr>
    </w:p>
    <w:p w14:paraId="4D23D267" w14:textId="6800EC7B" w:rsidR="0005503A" w:rsidRPr="00E270B1" w:rsidRDefault="00EC2FEE" w:rsidP="00E270B1">
      <w:pPr>
        <w:pStyle w:val="ListParagraph"/>
        <w:numPr>
          <w:ilvl w:val="0"/>
          <w:numId w:val="2"/>
        </w:numPr>
        <w:tabs>
          <w:tab w:val="left" w:pos="426"/>
        </w:tabs>
        <w:spacing w:line="288" w:lineRule="auto"/>
        <w:ind w:left="426" w:hanging="426"/>
        <w:jc w:val="both"/>
        <w:rPr>
          <w:rFonts w:cs="Arial"/>
          <w:szCs w:val="24"/>
        </w:rPr>
      </w:pPr>
      <w:r>
        <w:rPr>
          <w:rFonts w:cs="Arial"/>
        </w:rPr>
        <w:t>The Decision has the effect that no child may be accommodated by the Appellant at any premises unless the child was being accommodated at the time that the Notice was served and has continued to be accommodated since.</w:t>
      </w:r>
    </w:p>
    <w:p w14:paraId="1E849171" w14:textId="77777777" w:rsidR="00FA1D5D" w:rsidRPr="00FA1D5D" w:rsidRDefault="00FA1D5D" w:rsidP="00FA1D5D">
      <w:pPr>
        <w:pStyle w:val="ListParagraph"/>
        <w:tabs>
          <w:tab w:val="left" w:pos="426"/>
        </w:tabs>
        <w:spacing w:line="288" w:lineRule="auto"/>
        <w:ind w:left="426"/>
        <w:jc w:val="both"/>
        <w:rPr>
          <w:rFonts w:cs="Arial"/>
          <w:szCs w:val="24"/>
        </w:rPr>
      </w:pPr>
    </w:p>
    <w:p w14:paraId="31962347" w14:textId="33E5CC76" w:rsidR="00FD4AE8" w:rsidRPr="00FD4AE8" w:rsidRDefault="00422B89" w:rsidP="00FD4AE8">
      <w:pPr>
        <w:pStyle w:val="ListParagraph"/>
        <w:numPr>
          <w:ilvl w:val="0"/>
          <w:numId w:val="2"/>
        </w:numPr>
        <w:tabs>
          <w:tab w:val="left" w:pos="426"/>
        </w:tabs>
        <w:spacing w:line="288" w:lineRule="auto"/>
        <w:ind w:left="426" w:hanging="426"/>
        <w:jc w:val="both"/>
        <w:rPr>
          <w:rFonts w:cs="Arial"/>
          <w:szCs w:val="24"/>
        </w:rPr>
      </w:pPr>
      <w:r w:rsidRPr="0005503A">
        <w:rPr>
          <w:rFonts w:cs="Arial"/>
        </w:rPr>
        <w:t>The Respondent opposes the Appeal.</w:t>
      </w:r>
    </w:p>
    <w:p w14:paraId="2CCC4DAF" w14:textId="77777777" w:rsidR="00FA1D5D" w:rsidRDefault="00FA1D5D" w:rsidP="005E43B8">
      <w:pPr>
        <w:pStyle w:val="Default"/>
        <w:spacing w:line="288" w:lineRule="auto"/>
        <w:jc w:val="both"/>
        <w:rPr>
          <w:rFonts w:ascii="Arial" w:hAnsi="Arial" w:cs="Arial"/>
          <w:b/>
          <w:color w:val="auto"/>
        </w:rPr>
      </w:pPr>
    </w:p>
    <w:p w14:paraId="4647CA38" w14:textId="0939D03E" w:rsidR="007275FA" w:rsidRPr="00A4287F" w:rsidRDefault="00A866DF" w:rsidP="005E43B8">
      <w:pPr>
        <w:pStyle w:val="Default"/>
        <w:spacing w:line="288" w:lineRule="auto"/>
        <w:jc w:val="both"/>
        <w:rPr>
          <w:rFonts w:ascii="Arial" w:hAnsi="Arial" w:cs="Arial"/>
          <w:b/>
          <w:color w:val="auto"/>
          <w:u w:val="single"/>
        </w:rPr>
      </w:pPr>
      <w:r>
        <w:rPr>
          <w:rFonts w:ascii="Arial" w:hAnsi="Arial" w:cs="Arial"/>
          <w:b/>
          <w:color w:val="auto"/>
          <w:u w:val="single"/>
        </w:rPr>
        <w:t>T</w:t>
      </w:r>
      <w:r w:rsidR="00EC2E6A" w:rsidRPr="00A4287F">
        <w:rPr>
          <w:rFonts w:ascii="Arial" w:hAnsi="Arial" w:cs="Arial"/>
          <w:b/>
          <w:color w:val="auto"/>
          <w:u w:val="single"/>
        </w:rPr>
        <w:t xml:space="preserve">he </w:t>
      </w:r>
      <w:r>
        <w:rPr>
          <w:rFonts w:ascii="Arial" w:hAnsi="Arial" w:cs="Arial"/>
          <w:b/>
          <w:color w:val="auto"/>
          <w:u w:val="single"/>
        </w:rPr>
        <w:t>H</w:t>
      </w:r>
      <w:r w:rsidR="00EC2E6A" w:rsidRPr="00A4287F">
        <w:rPr>
          <w:rFonts w:ascii="Arial" w:hAnsi="Arial" w:cs="Arial"/>
          <w:b/>
          <w:color w:val="auto"/>
          <w:u w:val="single"/>
        </w:rPr>
        <w:t>earing</w:t>
      </w:r>
    </w:p>
    <w:p w14:paraId="3FDDE1CC" w14:textId="77777777" w:rsidR="00422B89" w:rsidRPr="005E43B8" w:rsidRDefault="00422B89" w:rsidP="005E43B8">
      <w:pPr>
        <w:pStyle w:val="ListParagraph"/>
        <w:tabs>
          <w:tab w:val="left" w:pos="426"/>
        </w:tabs>
        <w:spacing w:line="288" w:lineRule="auto"/>
        <w:ind w:left="426"/>
        <w:jc w:val="both"/>
        <w:rPr>
          <w:rFonts w:cs="Arial"/>
          <w:szCs w:val="24"/>
        </w:rPr>
      </w:pPr>
    </w:p>
    <w:p w14:paraId="748AF1EE" w14:textId="7479E843" w:rsidR="00D96BA8" w:rsidRPr="003A5ABC" w:rsidRDefault="00A866DF" w:rsidP="003A5ABC">
      <w:pPr>
        <w:pStyle w:val="ListParagraph"/>
        <w:numPr>
          <w:ilvl w:val="0"/>
          <w:numId w:val="2"/>
        </w:numPr>
        <w:tabs>
          <w:tab w:val="left" w:pos="426"/>
        </w:tabs>
        <w:spacing w:line="288" w:lineRule="auto"/>
        <w:ind w:left="426" w:hanging="426"/>
        <w:jc w:val="both"/>
        <w:rPr>
          <w:rFonts w:cs="Arial"/>
          <w:szCs w:val="24"/>
        </w:rPr>
      </w:pPr>
      <w:r>
        <w:rPr>
          <w:rFonts w:cs="Arial"/>
          <w:szCs w:val="24"/>
        </w:rPr>
        <w:t xml:space="preserve">The hearing (“the Hearing”) proceeded on the papers, with no attendance from the parties or representatives. That was in line with </w:t>
      </w:r>
      <w:r w:rsidR="00861D98">
        <w:rPr>
          <w:rFonts w:cs="Arial"/>
          <w:szCs w:val="24"/>
        </w:rPr>
        <w:t>the</w:t>
      </w:r>
      <w:r>
        <w:rPr>
          <w:rFonts w:cs="Arial"/>
          <w:szCs w:val="24"/>
        </w:rPr>
        <w:t xml:space="preserve"> case management decision made by Judge Khan on 7 August 2025, which was itself in line with </w:t>
      </w:r>
      <w:r w:rsidR="00861D98">
        <w:rPr>
          <w:rFonts w:cs="Arial"/>
          <w:szCs w:val="24"/>
        </w:rPr>
        <w:t xml:space="preserve">the </w:t>
      </w:r>
      <w:r>
        <w:rPr>
          <w:rFonts w:cs="Arial"/>
          <w:szCs w:val="24"/>
        </w:rPr>
        <w:t xml:space="preserve">views </w:t>
      </w:r>
      <w:r w:rsidR="00861D98">
        <w:rPr>
          <w:rFonts w:cs="Arial"/>
          <w:szCs w:val="24"/>
        </w:rPr>
        <w:t>expressed by</w:t>
      </w:r>
      <w:r>
        <w:rPr>
          <w:rFonts w:cs="Arial"/>
          <w:szCs w:val="24"/>
        </w:rPr>
        <w:t xml:space="preserve"> the parties.</w:t>
      </w:r>
    </w:p>
    <w:p w14:paraId="3DB30F4F" w14:textId="77777777" w:rsidR="00EC2E6A" w:rsidRPr="00EC2E6A" w:rsidRDefault="00EC2E6A" w:rsidP="00EC2E6A">
      <w:pPr>
        <w:pStyle w:val="Default"/>
        <w:spacing w:line="288" w:lineRule="auto"/>
        <w:jc w:val="both"/>
        <w:rPr>
          <w:rFonts w:ascii="Arial" w:hAnsi="Arial" w:cs="Arial"/>
          <w:b/>
          <w:color w:val="auto"/>
        </w:rPr>
      </w:pPr>
    </w:p>
    <w:p w14:paraId="0C54F1AC" w14:textId="7FBF4BA0" w:rsidR="00EC2E6A" w:rsidRPr="00A4287F" w:rsidRDefault="00A866DF" w:rsidP="00EC2E6A">
      <w:pPr>
        <w:pStyle w:val="Default"/>
        <w:spacing w:line="288" w:lineRule="auto"/>
        <w:jc w:val="both"/>
        <w:rPr>
          <w:rFonts w:ascii="Arial" w:hAnsi="Arial" w:cs="Arial"/>
          <w:b/>
          <w:color w:val="auto"/>
          <w:u w:val="single"/>
        </w:rPr>
      </w:pPr>
      <w:r>
        <w:rPr>
          <w:rFonts w:ascii="Arial" w:hAnsi="Arial" w:cs="Arial"/>
          <w:b/>
          <w:color w:val="auto"/>
          <w:u w:val="single"/>
        </w:rPr>
        <w:t>Documents</w:t>
      </w:r>
      <w:r w:rsidR="006F55C9">
        <w:rPr>
          <w:rFonts w:ascii="Arial" w:hAnsi="Arial" w:cs="Arial"/>
          <w:b/>
          <w:color w:val="auto"/>
          <w:u w:val="single"/>
        </w:rPr>
        <w:t>, Evidence, and Submissions</w:t>
      </w:r>
    </w:p>
    <w:p w14:paraId="76008E6C" w14:textId="77777777" w:rsidR="00EC2E6A" w:rsidRPr="00EC2E6A" w:rsidRDefault="00EC2E6A" w:rsidP="00EC2E6A">
      <w:pPr>
        <w:pStyle w:val="Default"/>
        <w:spacing w:line="288" w:lineRule="auto"/>
        <w:jc w:val="both"/>
        <w:rPr>
          <w:rFonts w:ascii="Arial" w:hAnsi="Arial" w:cs="Arial"/>
          <w:b/>
          <w:color w:val="auto"/>
        </w:rPr>
      </w:pPr>
    </w:p>
    <w:p w14:paraId="1C96BE47" w14:textId="203F471F" w:rsidR="00A866DF" w:rsidRDefault="00EC2E6A" w:rsidP="005E43B8">
      <w:pPr>
        <w:pStyle w:val="ListParagraph"/>
        <w:numPr>
          <w:ilvl w:val="0"/>
          <w:numId w:val="2"/>
        </w:numPr>
        <w:tabs>
          <w:tab w:val="left" w:pos="426"/>
        </w:tabs>
        <w:spacing w:line="288" w:lineRule="auto"/>
        <w:ind w:left="426" w:hanging="426"/>
        <w:jc w:val="both"/>
        <w:rPr>
          <w:rFonts w:cs="Arial"/>
          <w:szCs w:val="24"/>
        </w:rPr>
      </w:pPr>
      <w:r>
        <w:rPr>
          <w:rFonts w:cs="Arial"/>
          <w:szCs w:val="24"/>
        </w:rPr>
        <w:t>A main</w:t>
      </w:r>
      <w:r w:rsidR="00D96BA8" w:rsidRPr="005E43B8">
        <w:rPr>
          <w:rFonts w:cs="Arial"/>
          <w:szCs w:val="24"/>
        </w:rPr>
        <w:t xml:space="preserve"> bundle of written documents</w:t>
      </w:r>
      <w:r w:rsidR="00A866DF">
        <w:rPr>
          <w:rFonts w:cs="Arial"/>
          <w:szCs w:val="24"/>
        </w:rPr>
        <w:t xml:space="preserve"> (“the Bundle”)</w:t>
      </w:r>
      <w:r w:rsidR="00D96BA8" w:rsidRPr="005E43B8">
        <w:rPr>
          <w:rFonts w:cs="Arial"/>
          <w:szCs w:val="24"/>
        </w:rPr>
        <w:t xml:space="preserve">, running to </w:t>
      </w:r>
      <w:r w:rsidR="00A866DF">
        <w:rPr>
          <w:rFonts w:cs="Arial"/>
          <w:szCs w:val="24"/>
        </w:rPr>
        <w:t>173</w:t>
      </w:r>
      <w:r w:rsidR="00D96BA8" w:rsidRPr="005E43B8">
        <w:rPr>
          <w:rFonts w:cs="Arial"/>
          <w:szCs w:val="24"/>
        </w:rPr>
        <w:t xml:space="preserve"> pages</w:t>
      </w:r>
      <w:r>
        <w:rPr>
          <w:rFonts w:cs="Arial"/>
          <w:szCs w:val="24"/>
        </w:rPr>
        <w:t xml:space="preserve">, had been prepared and provided </w:t>
      </w:r>
      <w:r w:rsidR="00861D98">
        <w:rPr>
          <w:rFonts w:cs="Arial"/>
          <w:szCs w:val="24"/>
        </w:rPr>
        <w:t>for</w:t>
      </w:r>
      <w:r>
        <w:rPr>
          <w:rFonts w:cs="Arial"/>
          <w:szCs w:val="24"/>
        </w:rPr>
        <w:t xml:space="preserve"> us</w:t>
      </w:r>
      <w:r w:rsidR="00A866DF">
        <w:rPr>
          <w:rFonts w:cs="Arial"/>
          <w:szCs w:val="24"/>
        </w:rPr>
        <w:t xml:space="preserve"> to consider at the Hearing</w:t>
      </w:r>
      <w:r>
        <w:rPr>
          <w:rFonts w:cs="Arial"/>
          <w:szCs w:val="24"/>
        </w:rPr>
        <w:t>.</w:t>
      </w:r>
      <w:r w:rsidR="00A866DF">
        <w:rPr>
          <w:rFonts w:cs="Arial"/>
          <w:szCs w:val="24"/>
        </w:rPr>
        <w:t xml:space="preserve"> The Bundle included, </w:t>
      </w:r>
      <w:r w:rsidR="006F55C9">
        <w:rPr>
          <w:rFonts w:cs="Arial"/>
          <w:szCs w:val="24"/>
        </w:rPr>
        <w:t>among other things: (1)</w:t>
      </w:r>
      <w:r w:rsidR="00A866DF">
        <w:rPr>
          <w:rFonts w:cs="Arial"/>
          <w:szCs w:val="24"/>
        </w:rPr>
        <w:t xml:space="preserve"> the formal appeal application form, along with a covering email setting out some further information and submissions; </w:t>
      </w:r>
      <w:r w:rsidR="006F55C9">
        <w:rPr>
          <w:rFonts w:cs="Arial"/>
          <w:szCs w:val="24"/>
        </w:rPr>
        <w:t xml:space="preserve">(2) </w:t>
      </w:r>
      <w:r w:rsidR="00A866DF">
        <w:rPr>
          <w:rFonts w:cs="Arial"/>
          <w:szCs w:val="24"/>
        </w:rPr>
        <w:t xml:space="preserve">the formal response form, along with a more detailed response </w:t>
      </w:r>
      <w:r w:rsidR="00861D98">
        <w:rPr>
          <w:rFonts w:cs="Arial"/>
          <w:szCs w:val="24"/>
        </w:rPr>
        <w:t xml:space="preserve">document </w:t>
      </w:r>
      <w:r w:rsidR="00A866DF">
        <w:rPr>
          <w:rFonts w:cs="Arial"/>
          <w:szCs w:val="24"/>
        </w:rPr>
        <w:t xml:space="preserve">attached to it; </w:t>
      </w:r>
      <w:r w:rsidR="00861D98">
        <w:rPr>
          <w:rFonts w:cs="Arial"/>
          <w:szCs w:val="24"/>
        </w:rPr>
        <w:t xml:space="preserve">(3) </w:t>
      </w:r>
      <w:r w:rsidR="00A866DF">
        <w:rPr>
          <w:rFonts w:cs="Arial"/>
          <w:szCs w:val="24"/>
        </w:rPr>
        <w:t>two case management orders</w:t>
      </w:r>
      <w:r w:rsidR="006F55C9">
        <w:rPr>
          <w:rFonts w:cs="Arial"/>
          <w:szCs w:val="24"/>
        </w:rPr>
        <w:t>; (</w:t>
      </w:r>
      <w:r w:rsidR="00861D98">
        <w:rPr>
          <w:rFonts w:cs="Arial"/>
          <w:szCs w:val="24"/>
        </w:rPr>
        <w:t>4</w:t>
      </w:r>
      <w:r w:rsidR="006F55C9">
        <w:rPr>
          <w:rFonts w:cs="Arial"/>
          <w:szCs w:val="24"/>
        </w:rPr>
        <w:t xml:space="preserve">) </w:t>
      </w:r>
      <w:r w:rsidR="00861D98">
        <w:rPr>
          <w:rFonts w:cs="Arial"/>
          <w:szCs w:val="24"/>
        </w:rPr>
        <w:t>a</w:t>
      </w:r>
      <w:r w:rsidR="006F55C9">
        <w:rPr>
          <w:rFonts w:cs="Arial"/>
          <w:szCs w:val="24"/>
        </w:rPr>
        <w:t xml:space="preserve"> witness statement for the Appellant (with exhibits and </w:t>
      </w:r>
      <w:r w:rsidR="00861D98">
        <w:rPr>
          <w:rFonts w:cs="Arial"/>
          <w:szCs w:val="24"/>
        </w:rPr>
        <w:t xml:space="preserve">a </w:t>
      </w:r>
      <w:r w:rsidR="006F55C9">
        <w:rPr>
          <w:rFonts w:cs="Arial"/>
          <w:szCs w:val="24"/>
        </w:rPr>
        <w:t>covering email); (</w:t>
      </w:r>
      <w:r w:rsidR="00861D98">
        <w:rPr>
          <w:rFonts w:cs="Arial"/>
          <w:szCs w:val="24"/>
        </w:rPr>
        <w:t>5</w:t>
      </w:r>
      <w:r w:rsidR="006F55C9">
        <w:rPr>
          <w:rFonts w:cs="Arial"/>
          <w:szCs w:val="24"/>
        </w:rPr>
        <w:t>) three witness statements for the Respondent (with exhibits); and (</w:t>
      </w:r>
      <w:r w:rsidR="00861D98">
        <w:rPr>
          <w:rFonts w:cs="Arial"/>
          <w:szCs w:val="24"/>
        </w:rPr>
        <w:t>6</w:t>
      </w:r>
      <w:r w:rsidR="006F55C9">
        <w:rPr>
          <w:rFonts w:cs="Arial"/>
          <w:szCs w:val="24"/>
        </w:rPr>
        <w:t>) a relevant extract from the Act.</w:t>
      </w:r>
    </w:p>
    <w:p w14:paraId="61C99575" w14:textId="77777777" w:rsidR="00A866DF" w:rsidRDefault="00A866DF" w:rsidP="00A866DF">
      <w:pPr>
        <w:pStyle w:val="ListParagraph"/>
        <w:tabs>
          <w:tab w:val="left" w:pos="426"/>
        </w:tabs>
        <w:spacing w:line="288" w:lineRule="auto"/>
        <w:ind w:left="426"/>
        <w:jc w:val="both"/>
        <w:rPr>
          <w:rFonts w:cs="Arial"/>
          <w:szCs w:val="24"/>
        </w:rPr>
      </w:pPr>
    </w:p>
    <w:p w14:paraId="36B1CC08" w14:textId="4F103027" w:rsidR="006F55C9" w:rsidRDefault="006F55C9" w:rsidP="005E43B8">
      <w:pPr>
        <w:pStyle w:val="ListParagraph"/>
        <w:numPr>
          <w:ilvl w:val="0"/>
          <w:numId w:val="2"/>
        </w:numPr>
        <w:tabs>
          <w:tab w:val="left" w:pos="426"/>
        </w:tabs>
        <w:spacing w:line="288" w:lineRule="auto"/>
        <w:ind w:left="426" w:hanging="426"/>
        <w:jc w:val="both"/>
        <w:rPr>
          <w:rFonts w:cs="Arial"/>
          <w:szCs w:val="24"/>
        </w:rPr>
      </w:pPr>
      <w:r>
        <w:rPr>
          <w:rFonts w:cs="Arial"/>
          <w:szCs w:val="24"/>
        </w:rPr>
        <w:t xml:space="preserve">The witness statement for the Appellant was from Andrew Williams. It was not signed or dated. Mr Williams is the </w:t>
      </w:r>
      <w:r w:rsidR="009F7635">
        <w:rPr>
          <w:rFonts w:cs="Arial"/>
          <w:szCs w:val="24"/>
        </w:rPr>
        <w:t>n</w:t>
      </w:r>
      <w:r>
        <w:rPr>
          <w:rFonts w:cs="Arial"/>
          <w:szCs w:val="24"/>
        </w:rPr>
        <w:t xml:space="preserve">ominated </w:t>
      </w:r>
      <w:r w:rsidR="009F7635">
        <w:rPr>
          <w:rFonts w:cs="Arial"/>
          <w:szCs w:val="24"/>
        </w:rPr>
        <w:t>i</w:t>
      </w:r>
      <w:r>
        <w:rPr>
          <w:rFonts w:cs="Arial"/>
          <w:szCs w:val="24"/>
        </w:rPr>
        <w:t xml:space="preserve">ndividual and </w:t>
      </w:r>
      <w:r w:rsidR="00861D98">
        <w:rPr>
          <w:rFonts w:cs="Arial"/>
          <w:szCs w:val="24"/>
        </w:rPr>
        <w:t xml:space="preserve">a </w:t>
      </w:r>
      <w:r>
        <w:rPr>
          <w:rFonts w:cs="Arial"/>
          <w:szCs w:val="24"/>
        </w:rPr>
        <w:t>director of the Appellant.</w:t>
      </w:r>
    </w:p>
    <w:p w14:paraId="64DD9229" w14:textId="77777777" w:rsidR="00D9136D" w:rsidRDefault="00D9136D" w:rsidP="00D9136D">
      <w:pPr>
        <w:pStyle w:val="ListParagraph"/>
        <w:tabs>
          <w:tab w:val="left" w:pos="426"/>
        </w:tabs>
        <w:spacing w:line="288" w:lineRule="auto"/>
        <w:ind w:left="426"/>
        <w:jc w:val="both"/>
        <w:rPr>
          <w:rFonts w:cs="Arial"/>
          <w:szCs w:val="24"/>
        </w:rPr>
      </w:pPr>
    </w:p>
    <w:p w14:paraId="553DF952" w14:textId="2DABA9C2" w:rsidR="009F7635" w:rsidRDefault="009F7635" w:rsidP="005E43B8">
      <w:pPr>
        <w:pStyle w:val="ListParagraph"/>
        <w:numPr>
          <w:ilvl w:val="0"/>
          <w:numId w:val="2"/>
        </w:numPr>
        <w:tabs>
          <w:tab w:val="left" w:pos="426"/>
        </w:tabs>
        <w:spacing w:line="288" w:lineRule="auto"/>
        <w:ind w:left="426" w:hanging="426"/>
        <w:jc w:val="both"/>
        <w:rPr>
          <w:rFonts w:cs="Arial"/>
          <w:szCs w:val="24"/>
        </w:rPr>
      </w:pPr>
      <w:r>
        <w:rPr>
          <w:rFonts w:cs="Arial"/>
          <w:szCs w:val="24"/>
        </w:rPr>
        <w:t>The witness statements for the Respondent were Steven James, Amie Pearson, and Mark Woodbridge.</w:t>
      </w:r>
      <w:r w:rsidR="00861D98">
        <w:rPr>
          <w:rFonts w:cs="Arial"/>
          <w:szCs w:val="24"/>
        </w:rPr>
        <w:t xml:space="preserve"> They were signed (electronically) and dated.</w:t>
      </w:r>
      <w:r>
        <w:rPr>
          <w:rFonts w:cs="Arial"/>
          <w:szCs w:val="24"/>
        </w:rPr>
        <w:t xml:space="preserve"> Mr James carried out and led relevant inspections of the Appellant. Ms Pearson attended and supported Mr James in relation to </w:t>
      </w:r>
      <w:r w:rsidR="00861D98">
        <w:rPr>
          <w:rFonts w:cs="Arial"/>
          <w:szCs w:val="24"/>
        </w:rPr>
        <w:t>the most recent of</w:t>
      </w:r>
      <w:r>
        <w:rPr>
          <w:rFonts w:cs="Arial"/>
          <w:szCs w:val="24"/>
        </w:rPr>
        <w:t xml:space="preserve"> th</w:t>
      </w:r>
      <w:r w:rsidR="00861D98">
        <w:rPr>
          <w:rFonts w:cs="Arial"/>
          <w:szCs w:val="24"/>
        </w:rPr>
        <w:t>ose</w:t>
      </w:r>
      <w:r>
        <w:rPr>
          <w:rFonts w:cs="Arial"/>
          <w:szCs w:val="24"/>
        </w:rPr>
        <w:t xml:space="preserve"> inspections. Mr Woodbridge is </w:t>
      </w:r>
      <w:r w:rsidR="00861D98">
        <w:rPr>
          <w:rFonts w:cs="Arial"/>
          <w:szCs w:val="24"/>
        </w:rPr>
        <w:t>a</w:t>
      </w:r>
      <w:r>
        <w:rPr>
          <w:rFonts w:cs="Arial"/>
          <w:szCs w:val="24"/>
        </w:rPr>
        <w:t xml:space="preserve"> manager and the person who, in essence, made the Decision.</w:t>
      </w:r>
    </w:p>
    <w:p w14:paraId="77C4231F" w14:textId="77777777" w:rsidR="00D9136D" w:rsidRDefault="00D9136D" w:rsidP="00D9136D">
      <w:pPr>
        <w:pStyle w:val="ListParagraph"/>
        <w:tabs>
          <w:tab w:val="left" w:pos="426"/>
        </w:tabs>
        <w:spacing w:line="288" w:lineRule="auto"/>
        <w:ind w:left="426"/>
        <w:jc w:val="both"/>
        <w:rPr>
          <w:rFonts w:cs="Arial"/>
          <w:szCs w:val="24"/>
        </w:rPr>
      </w:pPr>
    </w:p>
    <w:p w14:paraId="76FD10C9" w14:textId="30C8ACCD" w:rsidR="00E62012" w:rsidRPr="006F55C9" w:rsidRDefault="00A866DF" w:rsidP="006F55C9">
      <w:pPr>
        <w:pStyle w:val="ListParagraph"/>
        <w:numPr>
          <w:ilvl w:val="0"/>
          <w:numId w:val="2"/>
        </w:numPr>
        <w:tabs>
          <w:tab w:val="left" w:pos="426"/>
        </w:tabs>
        <w:spacing w:line="288" w:lineRule="auto"/>
        <w:ind w:left="426" w:hanging="426"/>
        <w:jc w:val="both"/>
        <w:rPr>
          <w:rFonts w:cs="Arial"/>
          <w:szCs w:val="24"/>
        </w:rPr>
      </w:pPr>
      <w:r>
        <w:rPr>
          <w:rFonts w:cs="Arial"/>
          <w:szCs w:val="24"/>
        </w:rPr>
        <w:t>In addition</w:t>
      </w:r>
      <w:r w:rsidR="006F55C9">
        <w:rPr>
          <w:rFonts w:cs="Arial"/>
          <w:szCs w:val="24"/>
        </w:rPr>
        <w:t xml:space="preserve"> to</w:t>
      </w:r>
      <w:r w:rsidR="00861D98">
        <w:rPr>
          <w:rFonts w:cs="Arial"/>
          <w:szCs w:val="24"/>
        </w:rPr>
        <w:t xml:space="preserve"> </w:t>
      </w:r>
      <w:r w:rsidR="006F55C9">
        <w:rPr>
          <w:rFonts w:cs="Arial"/>
          <w:szCs w:val="24"/>
        </w:rPr>
        <w:t>documents</w:t>
      </w:r>
      <w:r w:rsidR="00861D98">
        <w:rPr>
          <w:rFonts w:cs="Arial"/>
          <w:szCs w:val="24"/>
        </w:rPr>
        <w:t xml:space="preserve"> </w:t>
      </w:r>
      <w:r w:rsidR="006F55C9">
        <w:rPr>
          <w:rFonts w:cs="Arial"/>
          <w:szCs w:val="24"/>
        </w:rPr>
        <w:t>in the Bundle</w:t>
      </w:r>
      <w:r>
        <w:rPr>
          <w:rFonts w:cs="Arial"/>
          <w:szCs w:val="24"/>
        </w:rPr>
        <w:t xml:space="preserve">, we had regard to </w:t>
      </w:r>
      <w:r w:rsidR="00861D98">
        <w:rPr>
          <w:rFonts w:cs="Arial"/>
          <w:szCs w:val="24"/>
        </w:rPr>
        <w:t>the Respondent’s</w:t>
      </w:r>
      <w:r>
        <w:rPr>
          <w:rFonts w:cs="Arial"/>
          <w:szCs w:val="24"/>
        </w:rPr>
        <w:t xml:space="preserve"> skeleton argument</w:t>
      </w:r>
      <w:r w:rsidR="006F55C9">
        <w:rPr>
          <w:rFonts w:cs="Arial"/>
          <w:szCs w:val="24"/>
        </w:rPr>
        <w:t xml:space="preserve">, along with two </w:t>
      </w:r>
      <w:r w:rsidR="00861D98">
        <w:rPr>
          <w:rFonts w:cs="Arial"/>
          <w:szCs w:val="24"/>
        </w:rPr>
        <w:t xml:space="preserve">documents </w:t>
      </w:r>
      <w:r w:rsidR="006F55C9">
        <w:rPr>
          <w:rFonts w:cs="Arial"/>
          <w:szCs w:val="24"/>
        </w:rPr>
        <w:t>atta</w:t>
      </w:r>
      <w:r w:rsidR="00861D98">
        <w:rPr>
          <w:rFonts w:cs="Arial"/>
          <w:szCs w:val="24"/>
        </w:rPr>
        <w:t>ched to it</w:t>
      </w:r>
      <w:r w:rsidR="006F55C9">
        <w:rPr>
          <w:rFonts w:cs="Arial"/>
          <w:szCs w:val="24"/>
        </w:rPr>
        <w:t xml:space="preserve">: </w:t>
      </w:r>
      <w:r w:rsidR="00861D98">
        <w:rPr>
          <w:rFonts w:cs="Arial"/>
          <w:szCs w:val="24"/>
        </w:rPr>
        <w:t xml:space="preserve">(1) </w:t>
      </w:r>
      <w:r w:rsidR="006F55C9">
        <w:rPr>
          <w:rFonts w:cs="Arial"/>
          <w:szCs w:val="24"/>
        </w:rPr>
        <w:t>The Supported Accommodation (England) Regulations 2023</w:t>
      </w:r>
      <w:r w:rsidR="00861D98">
        <w:rPr>
          <w:rFonts w:cs="Arial"/>
          <w:szCs w:val="24"/>
        </w:rPr>
        <w:t xml:space="preserve"> (“the Regs”)</w:t>
      </w:r>
      <w:r w:rsidR="006F55C9">
        <w:rPr>
          <w:rFonts w:cs="Arial"/>
          <w:szCs w:val="24"/>
        </w:rPr>
        <w:t xml:space="preserve">; and </w:t>
      </w:r>
      <w:r w:rsidR="00861D98">
        <w:rPr>
          <w:rFonts w:cs="Arial"/>
          <w:szCs w:val="24"/>
        </w:rPr>
        <w:t xml:space="preserve">(2) </w:t>
      </w:r>
      <w:r w:rsidR="006F55C9">
        <w:rPr>
          <w:rFonts w:cs="Arial"/>
          <w:szCs w:val="24"/>
        </w:rPr>
        <w:t>the Guide to the Supported Accommodation Regulations including Quality Standards (published by the Department for Education in March 2023)</w:t>
      </w:r>
      <w:r w:rsidR="00861D98">
        <w:rPr>
          <w:rFonts w:cs="Arial"/>
          <w:szCs w:val="24"/>
        </w:rPr>
        <w:t xml:space="preserve"> (“the Guide”)</w:t>
      </w:r>
      <w:r w:rsidR="006F55C9">
        <w:rPr>
          <w:rFonts w:cs="Arial"/>
          <w:szCs w:val="24"/>
        </w:rPr>
        <w:t>.</w:t>
      </w:r>
    </w:p>
    <w:p w14:paraId="0BCF672E" w14:textId="77777777" w:rsidR="00760E21" w:rsidRDefault="00760E21" w:rsidP="005E43B8">
      <w:pPr>
        <w:tabs>
          <w:tab w:val="left" w:pos="426"/>
        </w:tabs>
        <w:spacing w:line="288" w:lineRule="auto"/>
        <w:jc w:val="both"/>
        <w:rPr>
          <w:rFonts w:cs="Arial"/>
          <w:b/>
          <w:bCs/>
          <w:color w:val="EE0000"/>
          <w:sz w:val="24"/>
          <w:u w:val="single"/>
        </w:rPr>
      </w:pPr>
    </w:p>
    <w:p w14:paraId="5AEA9101" w14:textId="2149BF31" w:rsidR="00441FD3" w:rsidRPr="00441FD3" w:rsidRDefault="00441FD3" w:rsidP="00441FD3">
      <w:pPr>
        <w:spacing w:line="288" w:lineRule="auto"/>
        <w:rPr>
          <w:rFonts w:cs="Arial"/>
          <w:b/>
          <w:bCs/>
          <w:sz w:val="24"/>
          <w:u w:val="single"/>
        </w:rPr>
      </w:pPr>
      <w:r w:rsidRPr="00441FD3">
        <w:rPr>
          <w:rFonts w:cs="Arial"/>
          <w:b/>
          <w:bCs/>
          <w:sz w:val="24"/>
          <w:u w:val="single"/>
        </w:rPr>
        <w:t xml:space="preserve">Restricted </w:t>
      </w:r>
      <w:r w:rsidR="00884E62">
        <w:rPr>
          <w:rFonts w:cs="Arial"/>
          <w:b/>
          <w:bCs/>
          <w:sz w:val="24"/>
          <w:u w:val="single"/>
        </w:rPr>
        <w:t>R</w:t>
      </w:r>
      <w:r w:rsidRPr="00441FD3">
        <w:rPr>
          <w:rFonts w:cs="Arial"/>
          <w:b/>
          <w:bCs/>
          <w:sz w:val="24"/>
          <w:u w:val="single"/>
        </w:rPr>
        <w:t xml:space="preserve">eporting </w:t>
      </w:r>
      <w:r w:rsidR="00884E62">
        <w:rPr>
          <w:rFonts w:cs="Arial"/>
          <w:b/>
          <w:bCs/>
          <w:sz w:val="24"/>
          <w:u w:val="single"/>
        </w:rPr>
        <w:t>O</w:t>
      </w:r>
      <w:r w:rsidRPr="00441FD3">
        <w:rPr>
          <w:rFonts w:cs="Arial"/>
          <w:b/>
          <w:bCs/>
          <w:sz w:val="24"/>
          <w:u w:val="single"/>
        </w:rPr>
        <w:t>rders</w:t>
      </w:r>
    </w:p>
    <w:p w14:paraId="73C9A76E" w14:textId="77777777" w:rsidR="00441FD3" w:rsidRPr="005E43B8" w:rsidRDefault="00441FD3" w:rsidP="00441FD3">
      <w:pPr>
        <w:spacing w:line="288" w:lineRule="auto"/>
        <w:rPr>
          <w:rFonts w:cs="Arial"/>
          <w:sz w:val="24"/>
        </w:rPr>
      </w:pPr>
    </w:p>
    <w:p w14:paraId="1A291F86" w14:textId="0F60C95E" w:rsidR="00441FD3" w:rsidRPr="00E62012" w:rsidRDefault="00441FD3" w:rsidP="00441FD3">
      <w:pPr>
        <w:pStyle w:val="ListParagraph"/>
        <w:numPr>
          <w:ilvl w:val="0"/>
          <w:numId w:val="2"/>
        </w:numPr>
        <w:tabs>
          <w:tab w:val="left" w:pos="426"/>
        </w:tabs>
        <w:spacing w:line="288" w:lineRule="auto"/>
        <w:ind w:left="426" w:hanging="426"/>
        <w:jc w:val="both"/>
        <w:rPr>
          <w:rFonts w:cs="Arial"/>
          <w:szCs w:val="24"/>
        </w:rPr>
      </w:pPr>
      <w:r>
        <w:rPr>
          <w:rFonts w:cs="Arial"/>
          <w:szCs w:val="24"/>
        </w:rPr>
        <w:t xml:space="preserve">While no restricted reporting orders were </w:t>
      </w:r>
      <w:r w:rsidR="00861D98">
        <w:rPr>
          <w:rFonts w:cs="Arial"/>
          <w:szCs w:val="24"/>
        </w:rPr>
        <w:t xml:space="preserve">expressly </w:t>
      </w:r>
      <w:r>
        <w:rPr>
          <w:rFonts w:cs="Arial"/>
          <w:szCs w:val="24"/>
        </w:rPr>
        <w:t>applied for, we</w:t>
      </w:r>
      <w:r w:rsidRPr="005E43B8">
        <w:rPr>
          <w:rFonts w:cs="Arial"/>
          <w:szCs w:val="24"/>
        </w:rPr>
        <w:t xml:space="preserve"> considered whether </w:t>
      </w:r>
      <w:r>
        <w:rPr>
          <w:rFonts w:cs="Arial"/>
          <w:szCs w:val="24"/>
        </w:rPr>
        <w:t>we</w:t>
      </w:r>
      <w:r w:rsidRPr="005E43B8">
        <w:rPr>
          <w:rFonts w:cs="Arial"/>
          <w:szCs w:val="24"/>
        </w:rPr>
        <w:t xml:space="preserve"> ought to make any </w:t>
      </w:r>
      <w:r>
        <w:rPr>
          <w:rFonts w:cs="Arial"/>
          <w:szCs w:val="24"/>
        </w:rPr>
        <w:t>such</w:t>
      </w:r>
      <w:r w:rsidRPr="005E43B8">
        <w:rPr>
          <w:rFonts w:cs="Arial"/>
          <w:szCs w:val="24"/>
        </w:rPr>
        <w:t xml:space="preserve"> orders.</w:t>
      </w:r>
      <w:r>
        <w:rPr>
          <w:rFonts w:cs="Arial"/>
          <w:szCs w:val="24"/>
        </w:rPr>
        <w:t xml:space="preserve"> </w:t>
      </w:r>
      <w:r>
        <w:rPr>
          <w:rFonts w:cs="Arial"/>
        </w:rPr>
        <w:t>Principally, we</w:t>
      </w:r>
      <w:r w:rsidRPr="000720D8">
        <w:rPr>
          <w:rFonts w:cs="Arial"/>
        </w:rPr>
        <w:t xml:space="preserve"> considered the position in relation to </w:t>
      </w:r>
      <w:r>
        <w:rPr>
          <w:rFonts w:cs="Arial"/>
        </w:rPr>
        <w:t>the</w:t>
      </w:r>
      <w:r w:rsidRPr="000720D8">
        <w:rPr>
          <w:rFonts w:cs="Arial"/>
        </w:rPr>
        <w:t xml:space="preserve"> children being</w:t>
      </w:r>
      <w:r>
        <w:rPr>
          <w:rFonts w:cs="Arial"/>
        </w:rPr>
        <w:t xml:space="preserve"> accommodated</w:t>
      </w:r>
      <w:r w:rsidRPr="000720D8">
        <w:rPr>
          <w:rFonts w:cs="Arial"/>
        </w:rPr>
        <w:t xml:space="preserve"> </w:t>
      </w:r>
      <w:r>
        <w:rPr>
          <w:rFonts w:cs="Arial"/>
        </w:rPr>
        <w:t xml:space="preserve">by (or otherwise under the care of) the Appellant </w:t>
      </w:r>
      <w:r w:rsidRPr="000720D8">
        <w:rPr>
          <w:rFonts w:cs="Arial"/>
        </w:rPr>
        <w:t xml:space="preserve">at </w:t>
      </w:r>
      <w:r>
        <w:rPr>
          <w:rFonts w:cs="Arial"/>
        </w:rPr>
        <w:t>material</w:t>
      </w:r>
      <w:r w:rsidRPr="000720D8">
        <w:rPr>
          <w:rFonts w:cs="Arial"/>
        </w:rPr>
        <w:t xml:space="preserve"> time</w:t>
      </w:r>
      <w:r>
        <w:rPr>
          <w:rFonts w:cs="Arial"/>
        </w:rPr>
        <w:t>s</w:t>
      </w:r>
      <w:r w:rsidRPr="000720D8">
        <w:rPr>
          <w:rFonts w:cs="Arial"/>
        </w:rPr>
        <w:t xml:space="preserve">. </w:t>
      </w:r>
      <w:r>
        <w:rPr>
          <w:rFonts w:cs="Arial"/>
        </w:rPr>
        <w:t>We</w:t>
      </w:r>
      <w:r w:rsidRPr="000720D8">
        <w:rPr>
          <w:rFonts w:cs="Arial"/>
        </w:rPr>
        <w:t xml:space="preserve"> concluded </w:t>
      </w:r>
      <w:r>
        <w:rPr>
          <w:rFonts w:cs="Arial"/>
        </w:rPr>
        <w:t>that</w:t>
      </w:r>
      <w:r w:rsidR="00861D98">
        <w:rPr>
          <w:rFonts w:cs="Arial"/>
        </w:rPr>
        <w:t>, in all the circumstances,</w:t>
      </w:r>
      <w:r>
        <w:rPr>
          <w:rFonts w:cs="Arial"/>
        </w:rPr>
        <w:t xml:space="preserve"> we</w:t>
      </w:r>
      <w:r w:rsidRPr="000720D8">
        <w:rPr>
          <w:rFonts w:cs="Arial"/>
        </w:rPr>
        <w:t xml:space="preserve"> </w:t>
      </w:r>
      <w:r>
        <w:rPr>
          <w:rFonts w:cs="Arial"/>
        </w:rPr>
        <w:t>sh</w:t>
      </w:r>
      <w:r w:rsidRPr="000720D8">
        <w:rPr>
          <w:rFonts w:cs="Arial"/>
        </w:rPr>
        <w:t>ould make a</w:t>
      </w:r>
      <w:r>
        <w:rPr>
          <w:rFonts w:cs="Arial"/>
        </w:rPr>
        <w:t>n</w:t>
      </w:r>
      <w:r w:rsidRPr="000720D8">
        <w:rPr>
          <w:rFonts w:cs="Arial"/>
        </w:rPr>
        <w:t xml:space="preserve"> order</w:t>
      </w:r>
      <w:r>
        <w:rPr>
          <w:rFonts w:cs="Arial"/>
        </w:rPr>
        <w:t>,</w:t>
      </w:r>
      <w:r w:rsidRPr="000720D8">
        <w:rPr>
          <w:rFonts w:cs="Arial"/>
        </w:rPr>
        <w:t xml:space="preserve"> under rule</w:t>
      </w:r>
      <w:r w:rsidR="00861D98">
        <w:rPr>
          <w:rFonts w:cs="Arial"/>
        </w:rPr>
        <w:t>s</w:t>
      </w:r>
      <w:r w:rsidRPr="000720D8">
        <w:rPr>
          <w:rFonts w:cs="Arial"/>
        </w:rPr>
        <w:t xml:space="preserve"> 14(1)(a) and (b)</w:t>
      </w:r>
      <w:r w:rsidR="00861D98">
        <w:rPr>
          <w:rFonts w:cs="Arial"/>
        </w:rPr>
        <w:t xml:space="preserve"> of the rules governing the </w:t>
      </w:r>
      <w:r w:rsidR="00861D98">
        <w:rPr>
          <w:rFonts w:cs="Arial"/>
        </w:rPr>
        <w:lastRenderedPageBreak/>
        <w:t>Tribunal and these proceedings</w:t>
      </w:r>
      <w:r w:rsidRPr="000720D8">
        <w:rPr>
          <w:rFonts w:cs="Arial"/>
        </w:rPr>
        <w:t>, prohibiting the disclosure or publication of any document or matter likely to lead members of the public to identify th</w:t>
      </w:r>
      <w:r>
        <w:rPr>
          <w:rFonts w:cs="Arial"/>
        </w:rPr>
        <w:t>ose c</w:t>
      </w:r>
      <w:r w:rsidRPr="000720D8">
        <w:rPr>
          <w:rFonts w:cs="Arial"/>
        </w:rPr>
        <w:t>hildren, so as to adequately protect their private/family lives.</w:t>
      </w:r>
    </w:p>
    <w:p w14:paraId="038428DA" w14:textId="77777777" w:rsidR="00FD4AE8" w:rsidRDefault="00FD4AE8" w:rsidP="005E43B8">
      <w:pPr>
        <w:tabs>
          <w:tab w:val="left" w:pos="426"/>
        </w:tabs>
        <w:spacing w:line="288" w:lineRule="auto"/>
        <w:jc w:val="both"/>
        <w:rPr>
          <w:rFonts w:cs="Arial"/>
          <w:b/>
          <w:bCs/>
          <w:sz w:val="24"/>
          <w:u w:val="single"/>
        </w:rPr>
      </w:pPr>
    </w:p>
    <w:p w14:paraId="71022846" w14:textId="1C49D3DF" w:rsidR="00590762" w:rsidRPr="00A4287F" w:rsidRDefault="00590762" w:rsidP="005E43B8">
      <w:pPr>
        <w:tabs>
          <w:tab w:val="left" w:pos="426"/>
        </w:tabs>
        <w:spacing w:line="288" w:lineRule="auto"/>
        <w:jc w:val="both"/>
        <w:rPr>
          <w:rFonts w:cs="Arial"/>
          <w:b/>
          <w:bCs/>
          <w:sz w:val="24"/>
          <w:u w:val="single"/>
        </w:rPr>
      </w:pPr>
      <w:r w:rsidRPr="00A4287F">
        <w:rPr>
          <w:rFonts w:cs="Arial"/>
          <w:b/>
          <w:bCs/>
          <w:sz w:val="24"/>
          <w:u w:val="single"/>
        </w:rPr>
        <w:t xml:space="preserve">Legal </w:t>
      </w:r>
      <w:r w:rsidR="00884E62">
        <w:rPr>
          <w:rFonts w:cs="Arial"/>
          <w:b/>
          <w:bCs/>
          <w:sz w:val="24"/>
          <w:u w:val="single"/>
        </w:rPr>
        <w:t>F</w:t>
      </w:r>
      <w:r w:rsidRPr="00A4287F">
        <w:rPr>
          <w:rFonts w:cs="Arial"/>
          <w:b/>
          <w:bCs/>
          <w:sz w:val="24"/>
          <w:u w:val="single"/>
        </w:rPr>
        <w:t xml:space="preserve">ramework and </w:t>
      </w:r>
      <w:r w:rsidR="00884E62">
        <w:rPr>
          <w:rFonts w:cs="Arial"/>
          <w:b/>
          <w:bCs/>
          <w:sz w:val="24"/>
          <w:u w:val="single"/>
        </w:rPr>
        <w:t>P</w:t>
      </w:r>
      <w:r w:rsidRPr="00A4287F">
        <w:rPr>
          <w:rFonts w:cs="Arial"/>
          <w:b/>
          <w:bCs/>
          <w:sz w:val="24"/>
          <w:u w:val="single"/>
        </w:rPr>
        <w:t>rinciples</w:t>
      </w:r>
    </w:p>
    <w:p w14:paraId="7ACFF418" w14:textId="77777777" w:rsidR="00590762" w:rsidRPr="005E43B8" w:rsidRDefault="00590762" w:rsidP="005E43B8">
      <w:pPr>
        <w:pStyle w:val="ListParagraph"/>
        <w:tabs>
          <w:tab w:val="left" w:pos="426"/>
        </w:tabs>
        <w:spacing w:line="288" w:lineRule="auto"/>
        <w:ind w:left="426"/>
        <w:jc w:val="both"/>
        <w:rPr>
          <w:rFonts w:cs="Arial"/>
          <w:szCs w:val="24"/>
        </w:rPr>
      </w:pPr>
    </w:p>
    <w:p w14:paraId="17D6BFC9" w14:textId="33CC9B2F" w:rsidR="009F7635" w:rsidRDefault="009F7635" w:rsidP="009F7635">
      <w:pPr>
        <w:pStyle w:val="ListParagraph"/>
        <w:numPr>
          <w:ilvl w:val="0"/>
          <w:numId w:val="2"/>
        </w:numPr>
        <w:tabs>
          <w:tab w:val="left" w:pos="426"/>
        </w:tabs>
        <w:spacing w:line="288" w:lineRule="auto"/>
        <w:ind w:left="426" w:hanging="426"/>
        <w:jc w:val="both"/>
        <w:rPr>
          <w:rFonts w:cs="Arial"/>
          <w:szCs w:val="24"/>
        </w:rPr>
      </w:pPr>
      <w:r>
        <w:rPr>
          <w:rFonts w:cs="Arial"/>
          <w:szCs w:val="24"/>
        </w:rPr>
        <w:t>Section 22B of the Act</w:t>
      </w:r>
      <w:r w:rsidR="00861D98">
        <w:rPr>
          <w:rFonts w:cs="Arial"/>
          <w:szCs w:val="24"/>
        </w:rPr>
        <w:t xml:space="preserve"> is the key statutory provision. It</w:t>
      </w:r>
      <w:r>
        <w:rPr>
          <w:rFonts w:cs="Arial"/>
          <w:szCs w:val="24"/>
        </w:rPr>
        <w:t xml:space="preserve"> provides (as far as is relevant):</w:t>
      </w:r>
    </w:p>
    <w:p w14:paraId="19B82C75" w14:textId="77777777" w:rsidR="009F7635" w:rsidRDefault="009F7635" w:rsidP="009F7635">
      <w:pPr>
        <w:pStyle w:val="ListParagraph"/>
        <w:tabs>
          <w:tab w:val="left" w:pos="426"/>
        </w:tabs>
        <w:spacing w:line="288" w:lineRule="auto"/>
        <w:ind w:left="426"/>
        <w:jc w:val="both"/>
        <w:rPr>
          <w:rFonts w:cs="Arial"/>
          <w:szCs w:val="24"/>
        </w:rPr>
      </w:pPr>
    </w:p>
    <w:p w14:paraId="7239A75B" w14:textId="3EDF048E" w:rsidR="009F7635" w:rsidRPr="009F7635" w:rsidRDefault="009F7635" w:rsidP="009F7635">
      <w:pPr>
        <w:pStyle w:val="ListParagraph"/>
        <w:tabs>
          <w:tab w:val="left" w:pos="426"/>
        </w:tabs>
        <w:spacing w:line="288" w:lineRule="auto"/>
        <w:ind w:left="426"/>
        <w:jc w:val="both"/>
        <w:rPr>
          <w:rFonts w:cs="Arial"/>
          <w:i/>
          <w:iCs/>
          <w:szCs w:val="24"/>
        </w:rPr>
      </w:pPr>
      <w:r w:rsidRPr="009F7635">
        <w:rPr>
          <w:rFonts w:cs="Arial"/>
          <w:b/>
          <w:bCs/>
          <w:i/>
          <w:iCs/>
        </w:rPr>
        <w:t>22B Notice restricting accommodation at certain establishments</w:t>
      </w:r>
    </w:p>
    <w:p w14:paraId="6E6B22B3" w14:textId="1F1F2417" w:rsidR="009F7635" w:rsidRDefault="009F7635" w:rsidP="009F7635">
      <w:pPr>
        <w:pStyle w:val="ListParagraph"/>
        <w:numPr>
          <w:ilvl w:val="0"/>
          <w:numId w:val="19"/>
        </w:numPr>
        <w:tabs>
          <w:tab w:val="left" w:pos="851"/>
        </w:tabs>
        <w:spacing w:line="288" w:lineRule="auto"/>
        <w:jc w:val="both"/>
        <w:rPr>
          <w:rFonts w:cs="Arial"/>
          <w:i/>
          <w:iCs/>
        </w:rPr>
      </w:pPr>
      <w:r w:rsidRPr="009F7635">
        <w:rPr>
          <w:rFonts w:cs="Arial"/>
          <w:i/>
          <w:iCs/>
        </w:rPr>
        <w:t>The [registration authority] may serve a notice on a person who is registered in respect of an establishment to which this section applies imposing on that person the requirement in subsection (2) in relation to that establishment.</w:t>
      </w:r>
    </w:p>
    <w:p w14:paraId="7ECC4B3F" w14:textId="77777777" w:rsidR="009F7635" w:rsidRDefault="009F7635" w:rsidP="009F7635">
      <w:pPr>
        <w:pStyle w:val="ListParagraph"/>
        <w:numPr>
          <w:ilvl w:val="0"/>
          <w:numId w:val="19"/>
        </w:numPr>
        <w:tabs>
          <w:tab w:val="left" w:pos="851"/>
        </w:tabs>
        <w:spacing w:line="288" w:lineRule="auto"/>
        <w:jc w:val="both"/>
        <w:rPr>
          <w:rFonts w:cs="Arial"/>
          <w:i/>
          <w:iCs/>
        </w:rPr>
      </w:pPr>
      <w:r w:rsidRPr="009F7635">
        <w:rPr>
          <w:rFonts w:cs="Arial"/>
          <w:i/>
          <w:iCs/>
        </w:rPr>
        <w:t>The requirement is to ensure that no child is accommodated at the establishment unless the child –</w:t>
      </w:r>
    </w:p>
    <w:p w14:paraId="4B356B6B" w14:textId="5B66B38C" w:rsidR="009F7635" w:rsidRDefault="009F7635" w:rsidP="009F7635">
      <w:pPr>
        <w:pStyle w:val="ListParagraph"/>
        <w:numPr>
          <w:ilvl w:val="0"/>
          <w:numId w:val="20"/>
        </w:numPr>
        <w:tabs>
          <w:tab w:val="left" w:pos="1276"/>
        </w:tabs>
        <w:spacing w:line="288" w:lineRule="auto"/>
        <w:ind w:left="1276" w:hanging="415"/>
        <w:jc w:val="both"/>
        <w:rPr>
          <w:rFonts w:cs="Arial"/>
          <w:i/>
          <w:iCs/>
        </w:rPr>
      </w:pPr>
      <w:r w:rsidRPr="009F7635">
        <w:rPr>
          <w:rFonts w:cs="Arial"/>
          <w:i/>
          <w:iCs/>
        </w:rPr>
        <w:t>was accommodated there when the notice was served; and</w:t>
      </w:r>
    </w:p>
    <w:p w14:paraId="441C324E" w14:textId="1E2A0381" w:rsidR="009F7635" w:rsidRPr="009F7635" w:rsidRDefault="009F7635" w:rsidP="009F7635">
      <w:pPr>
        <w:pStyle w:val="ListParagraph"/>
        <w:numPr>
          <w:ilvl w:val="0"/>
          <w:numId w:val="20"/>
        </w:numPr>
        <w:tabs>
          <w:tab w:val="left" w:pos="1276"/>
        </w:tabs>
        <w:spacing w:line="288" w:lineRule="auto"/>
        <w:ind w:left="1276" w:hanging="415"/>
        <w:jc w:val="both"/>
        <w:rPr>
          <w:rFonts w:cs="Arial"/>
          <w:i/>
          <w:iCs/>
        </w:rPr>
      </w:pPr>
      <w:r w:rsidRPr="009F7635">
        <w:rPr>
          <w:rFonts w:cs="Arial"/>
          <w:i/>
          <w:iCs/>
        </w:rPr>
        <w:t>has continued to be accommodated there since the notice was served.</w:t>
      </w:r>
    </w:p>
    <w:p w14:paraId="2FE03B86" w14:textId="77777777" w:rsidR="009F7635" w:rsidRPr="005E43B8" w:rsidRDefault="009F7635" w:rsidP="005E43B8">
      <w:pPr>
        <w:pStyle w:val="ListParagraph"/>
        <w:tabs>
          <w:tab w:val="left" w:pos="426"/>
        </w:tabs>
        <w:spacing w:line="288" w:lineRule="auto"/>
        <w:ind w:left="426"/>
        <w:jc w:val="both"/>
        <w:rPr>
          <w:rFonts w:cs="Arial"/>
          <w:szCs w:val="24"/>
        </w:rPr>
      </w:pPr>
    </w:p>
    <w:p w14:paraId="5DC18135" w14:textId="13EA4B15" w:rsidR="002A19F9" w:rsidRDefault="00126FF2" w:rsidP="002A19F9">
      <w:pPr>
        <w:pStyle w:val="ListParagraph"/>
        <w:numPr>
          <w:ilvl w:val="0"/>
          <w:numId w:val="2"/>
        </w:numPr>
        <w:tabs>
          <w:tab w:val="left" w:pos="426"/>
        </w:tabs>
        <w:spacing w:line="288" w:lineRule="auto"/>
        <w:ind w:left="426" w:hanging="426"/>
        <w:jc w:val="both"/>
        <w:rPr>
          <w:rFonts w:cs="Arial"/>
          <w:szCs w:val="24"/>
        </w:rPr>
      </w:pPr>
      <w:r>
        <w:rPr>
          <w:rFonts w:cs="Arial"/>
          <w:szCs w:val="24"/>
        </w:rPr>
        <w:t xml:space="preserve">Section 22B does not expressly impose, or otherwise set out, explicit conditions </w:t>
      </w:r>
      <w:r w:rsidR="001311BE">
        <w:rPr>
          <w:rFonts w:cs="Arial"/>
          <w:szCs w:val="24"/>
        </w:rPr>
        <w:t>regarding</w:t>
      </w:r>
      <w:r>
        <w:rPr>
          <w:rFonts w:cs="Arial"/>
          <w:szCs w:val="24"/>
        </w:rPr>
        <w:t xml:space="preserve"> when a notice restricting accommodation may be served. The Respondent’s evidence is that it will only serve such a notice where it considers children may be exposed to a risk of harm.</w:t>
      </w:r>
    </w:p>
    <w:p w14:paraId="44091777" w14:textId="77777777" w:rsidR="002A19F9" w:rsidRDefault="002A19F9" w:rsidP="002A19F9">
      <w:pPr>
        <w:pStyle w:val="ListParagraph"/>
        <w:tabs>
          <w:tab w:val="left" w:pos="426"/>
        </w:tabs>
        <w:spacing w:line="288" w:lineRule="auto"/>
        <w:ind w:left="426"/>
        <w:jc w:val="both"/>
        <w:rPr>
          <w:rFonts w:cs="Arial"/>
          <w:szCs w:val="24"/>
        </w:rPr>
      </w:pPr>
    </w:p>
    <w:p w14:paraId="70440CD2" w14:textId="0EABD50B" w:rsidR="00772B06" w:rsidRPr="00E34967" w:rsidRDefault="00126FF2" w:rsidP="00E34967">
      <w:pPr>
        <w:pStyle w:val="ListParagraph"/>
        <w:numPr>
          <w:ilvl w:val="0"/>
          <w:numId w:val="2"/>
        </w:numPr>
        <w:tabs>
          <w:tab w:val="left" w:pos="426"/>
        </w:tabs>
        <w:spacing w:line="288" w:lineRule="auto"/>
        <w:ind w:left="426" w:hanging="426"/>
        <w:jc w:val="both"/>
        <w:rPr>
          <w:rFonts w:cs="Arial"/>
          <w:szCs w:val="24"/>
        </w:rPr>
      </w:pPr>
      <w:r>
        <w:rPr>
          <w:rFonts w:cs="Arial"/>
          <w:szCs w:val="24"/>
        </w:rPr>
        <w:t>“Harm” is a term defined in section 31(9) of the Children Act 1989 as:</w:t>
      </w:r>
      <w:r w:rsidR="00E34967">
        <w:rPr>
          <w:rFonts w:cs="Arial"/>
          <w:szCs w:val="24"/>
        </w:rPr>
        <w:t xml:space="preserve"> </w:t>
      </w:r>
      <w:r w:rsidR="00E34967" w:rsidRPr="00E34967">
        <w:rPr>
          <w:rFonts w:cs="Arial"/>
          <w:szCs w:val="24"/>
        </w:rPr>
        <w:t>“</w:t>
      </w:r>
      <w:r w:rsidR="00772B06" w:rsidRPr="00E34967">
        <w:rPr>
          <w:rFonts w:cs="Arial"/>
        </w:rPr>
        <w:t>ill-treatment or the impairment of health or development including, for example, impairment suffered from seeing or hearing the ill-treatment of another.</w:t>
      </w:r>
      <w:r w:rsidR="00E34967" w:rsidRPr="00E34967">
        <w:rPr>
          <w:rFonts w:cs="Arial"/>
        </w:rPr>
        <w:t>”</w:t>
      </w:r>
    </w:p>
    <w:p w14:paraId="281FB7C0" w14:textId="77777777" w:rsidR="00772B06" w:rsidRPr="005E43B8" w:rsidRDefault="00772B06" w:rsidP="005E43B8">
      <w:pPr>
        <w:pStyle w:val="ListParagraph"/>
        <w:tabs>
          <w:tab w:val="left" w:pos="426"/>
        </w:tabs>
        <w:spacing w:line="288" w:lineRule="auto"/>
        <w:ind w:left="426"/>
        <w:jc w:val="both"/>
        <w:rPr>
          <w:rFonts w:cs="Arial"/>
          <w:szCs w:val="24"/>
        </w:rPr>
      </w:pPr>
    </w:p>
    <w:p w14:paraId="32E0FC98" w14:textId="5BFB6CEC" w:rsidR="00AC51DE" w:rsidRDefault="00126FF2" w:rsidP="005E43B8">
      <w:pPr>
        <w:pStyle w:val="ListParagraph"/>
        <w:numPr>
          <w:ilvl w:val="0"/>
          <w:numId w:val="2"/>
        </w:numPr>
        <w:tabs>
          <w:tab w:val="left" w:pos="426"/>
        </w:tabs>
        <w:spacing w:line="288" w:lineRule="auto"/>
        <w:ind w:left="426" w:hanging="426"/>
        <w:jc w:val="both"/>
        <w:rPr>
          <w:rFonts w:cs="Arial"/>
          <w:szCs w:val="24"/>
        </w:rPr>
      </w:pPr>
      <w:r>
        <w:rPr>
          <w:rFonts w:cs="Arial"/>
          <w:szCs w:val="24"/>
        </w:rPr>
        <w:t xml:space="preserve">In our judgment, the correct approach for the Tribunal to take to the consideration of the Appeal is as follows. </w:t>
      </w:r>
      <w:r w:rsidR="001311BE">
        <w:rPr>
          <w:rFonts w:cs="Arial"/>
          <w:szCs w:val="24"/>
        </w:rPr>
        <w:t>First, w</w:t>
      </w:r>
      <w:r>
        <w:rPr>
          <w:rFonts w:cs="Arial"/>
          <w:szCs w:val="24"/>
        </w:rPr>
        <w:t xml:space="preserve">e must </w:t>
      </w:r>
      <w:r w:rsidR="00AC51DE" w:rsidRPr="005E43B8">
        <w:rPr>
          <w:rFonts w:cs="Arial"/>
          <w:szCs w:val="24"/>
        </w:rPr>
        <w:t xml:space="preserve">ask </w:t>
      </w:r>
      <w:r>
        <w:rPr>
          <w:rFonts w:cs="Arial"/>
          <w:szCs w:val="24"/>
        </w:rPr>
        <w:t>ourselves</w:t>
      </w:r>
      <w:r w:rsidR="00AC51DE" w:rsidRPr="005E43B8">
        <w:rPr>
          <w:rFonts w:cs="Arial"/>
          <w:szCs w:val="24"/>
        </w:rPr>
        <w:t xml:space="preserve"> whether, at the date of the </w:t>
      </w:r>
      <w:r>
        <w:rPr>
          <w:rFonts w:cs="Arial"/>
          <w:szCs w:val="24"/>
        </w:rPr>
        <w:t>H</w:t>
      </w:r>
      <w:r w:rsidR="00AC51DE" w:rsidRPr="005E43B8">
        <w:rPr>
          <w:rFonts w:cs="Arial"/>
          <w:szCs w:val="24"/>
        </w:rPr>
        <w:t>earin</w:t>
      </w:r>
      <w:r w:rsidR="00772B06" w:rsidRPr="005E43B8">
        <w:rPr>
          <w:rFonts w:cs="Arial"/>
          <w:szCs w:val="24"/>
        </w:rPr>
        <w:t>g</w:t>
      </w:r>
      <w:r w:rsidR="00155A84">
        <w:rPr>
          <w:rFonts w:cs="Arial"/>
          <w:szCs w:val="24"/>
        </w:rPr>
        <w:t xml:space="preserve"> (rather than, for example, at the date of th</w:t>
      </w:r>
      <w:r>
        <w:rPr>
          <w:rFonts w:cs="Arial"/>
          <w:szCs w:val="24"/>
        </w:rPr>
        <w:t>at the</w:t>
      </w:r>
      <w:r w:rsidR="00155A84">
        <w:rPr>
          <w:rFonts w:cs="Arial"/>
          <w:szCs w:val="24"/>
        </w:rPr>
        <w:t xml:space="preserve"> </w:t>
      </w:r>
      <w:r>
        <w:rPr>
          <w:rFonts w:cs="Arial"/>
          <w:szCs w:val="24"/>
        </w:rPr>
        <w:t>D</w:t>
      </w:r>
      <w:r w:rsidR="00155A84">
        <w:rPr>
          <w:rFonts w:cs="Arial"/>
          <w:szCs w:val="24"/>
        </w:rPr>
        <w:t>ecision</w:t>
      </w:r>
      <w:r>
        <w:rPr>
          <w:rFonts w:cs="Arial"/>
          <w:szCs w:val="24"/>
        </w:rPr>
        <w:t xml:space="preserve"> was</w:t>
      </w:r>
      <w:r w:rsidR="00155A84">
        <w:rPr>
          <w:rFonts w:cs="Arial"/>
          <w:szCs w:val="24"/>
        </w:rPr>
        <w:t xml:space="preserve"> taken by the Respondent)</w:t>
      </w:r>
      <w:r w:rsidR="00AC51DE" w:rsidRPr="005E43B8">
        <w:rPr>
          <w:rFonts w:cs="Arial"/>
          <w:szCs w:val="24"/>
        </w:rPr>
        <w:t>,</w:t>
      </w:r>
      <w:r>
        <w:rPr>
          <w:rFonts w:cs="Arial"/>
          <w:szCs w:val="24"/>
        </w:rPr>
        <w:t xml:space="preserve"> we are satisfied that we have </w:t>
      </w:r>
      <w:r w:rsidR="00AC51DE" w:rsidRPr="002830D7">
        <w:rPr>
          <w:rFonts w:cs="Arial"/>
          <w:b/>
          <w:bCs/>
          <w:szCs w:val="24"/>
        </w:rPr>
        <w:t>reasonable</w:t>
      </w:r>
      <w:r>
        <w:rPr>
          <w:rFonts w:cs="Arial"/>
          <w:b/>
          <w:bCs/>
          <w:szCs w:val="24"/>
        </w:rPr>
        <w:t xml:space="preserve"> cause to</w:t>
      </w:r>
      <w:r w:rsidR="00AC51DE" w:rsidRPr="002830D7">
        <w:rPr>
          <w:rFonts w:cs="Arial"/>
          <w:b/>
          <w:bCs/>
          <w:szCs w:val="24"/>
        </w:rPr>
        <w:t xml:space="preserve"> belie</w:t>
      </w:r>
      <w:r>
        <w:rPr>
          <w:rFonts w:cs="Arial"/>
          <w:b/>
          <w:bCs/>
          <w:szCs w:val="24"/>
        </w:rPr>
        <w:t>ve</w:t>
      </w:r>
      <w:r w:rsidR="00AC51DE" w:rsidRPr="005E43B8">
        <w:rPr>
          <w:rFonts w:cs="Arial"/>
          <w:szCs w:val="24"/>
        </w:rPr>
        <w:t xml:space="preserve"> that any child</w:t>
      </w:r>
      <w:r>
        <w:rPr>
          <w:rFonts w:cs="Arial"/>
          <w:szCs w:val="24"/>
        </w:rPr>
        <w:t xml:space="preserve"> </w:t>
      </w:r>
      <w:r w:rsidRPr="00126FF2">
        <w:rPr>
          <w:rFonts w:cs="Arial"/>
          <w:b/>
          <w:bCs/>
          <w:szCs w:val="24"/>
        </w:rPr>
        <w:t>will or</w:t>
      </w:r>
      <w:r w:rsidR="002830D7">
        <w:rPr>
          <w:rFonts w:cs="Arial"/>
          <w:b/>
          <w:bCs/>
          <w:szCs w:val="24"/>
        </w:rPr>
        <w:t xml:space="preserve"> </w:t>
      </w:r>
      <w:r w:rsidR="00AC51DE" w:rsidRPr="002830D7">
        <w:rPr>
          <w:rFonts w:cs="Arial"/>
          <w:b/>
          <w:bCs/>
          <w:szCs w:val="24"/>
        </w:rPr>
        <w:t>may</w:t>
      </w:r>
      <w:r w:rsidR="00AC51DE" w:rsidRPr="005E43B8">
        <w:rPr>
          <w:rFonts w:cs="Arial"/>
          <w:szCs w:val="24"/>
        </w:rPr>
        <w:t xml:space="preserve"> </w:t>
      </w:r>
      <w:r>
        <w:rPr>
          <w:rFonts w:cs="Arial"/>
          <w:szCs w:val="24"/>
        </w:rPr>
        <w:t xml:space="preserve">be </w:t>
      </w:r>
      <w:r w:rsidR="00AC51DE" w:rsidRPr="005E43B8">
        <w:rPr>
          <w:rFonts w:cs="Arial"/>
          <w:szCs w:val="24"/>
        </w:rPr>
        <w:t>expose</w:t>
      </w:r>
      <w:r>
        <w:rPr>
          <w:rFonts w:cs="Arial"/>
          <w:szCs w:val="24"/>
        </w:rPr>
        <w:t xml:space="preserve">d to </w:t>
      </w:r>
      <w:r w:rsidR="00AC51DE" w:rsidRPr="005E43B8">
        <w:rPr>
          <w:rFonts w:cs="Arial"/>
          <w:szCs w:val="24"/>
        </w:rPr>
        <w:t xml:space="preserve">a </w:t>
      </w:r>
      <w:r>
        <w:rPr>
          <w:rFonts w:cs="Arial"/>
          <w:szCs w:val="24"/>
        </w:rPr>
        <w:t xml:space="preserve">material </w:t>
      </w:r>
      <w:r w:rsidR="00AC51DE" w:rsidRPr="005E43B8">
        <w:rPr>
          <w:rFonts w:cs="Arial"/>
          <w:szCs w:val="24"/>
        </w:rPr>
        <w:t xml:space="preserve">risk of harm. </w:t>
      </w:r>
      <w:r w:rsidR="00155A84">
        <w:rPr>
          <w:rFonts w:cs="Arial"/>
          <w:szCs w:val="24"/>
        </w:rPr>
        <w:t>T</w:t>
      </w:r>
      <w:r w:rsidR="00AC51DE" w:rsidRPr="005E43B8">
        <w:rPr>
          <w:rFonts w:cs="Arial"/>
          <w:szCs w:val="24"/>
        </w:rPr>
        <w:t xml:space="preserve">he burden of proof is on the Respondent. The standard of proof </w:t>
      </w:r>
      <w:r>
        <w:rPr>
          <w:rFonts w:cs="Arial"/>
          <w:szCs w:val="24"/>
        </w:rPr>
        <w:t>(</w:t>
      </w:r>
      <w:r w:rsidR="00AC51DE" w:rsidRPr="005E43B8">
        <w:rPr>
          <w:rFonts w:cs="Arial"/>
          <w:szCs w:val="24"/>
        </w:rPr>
        <w:t>“reasonable cause to believe”</w:t>
      </w:r>
      <w:r>
        <w:rPr>
          <w:rFonts w:cs="Arial"/>
          <w:szCs w:val="24"/>
        </w:rPr>
        <w:t>) falls</w:t>
      </w:r>
      <w:r w:rsidR="00AC51DE" w:rsidRPr="005E43B8">
        <w:rPr>
          <w:rFonts w:cs="Arial"/>
          <w:szCs w:val="24"/>
        </w:rPr>
        <w:t xml:space="preserve"> somewhere between </w:t>
      </w:r>
      <w:r w:rsidR="00772B06" w:rsidRPr="005E43B8">
        <w:rPr>
          <w:rFonts w:cs="Arial"/>
          <w:szCs w:val="24"/>
        </w:rPr>
        <w:t>“</w:t>
      </w:r>
      <w:r w:rsidR="00AC51DE" w:rsidRPr="005E43B8">
        <w:rPr>
          <w:rFonts w:cs="Arial"/>
          <w:szCs w:val="24"/>
        </w:rPr>
        <w:t>the balance of probabilities” and</w:t>
      </w:r>
      <w:r>
        <w:rPr>
          <w:rFonts w:cs="Arial"/>
          <w:szCs w:val="24"/>
        </w:rPr>
        <w:t xml:space="preserve"> the lower threshold of</w:t>
      </w:r>
      <w:r w:rsidR="00AC51DE" w:rsidRPr="005E43B8">
        <w:rPr>
          <w:rFonts w:cs="Arial"/>
          <w:szCs w:val="24"/>
        </w:rPr>
        <w:t xml:space="preserve"> “reasonable cause to suspect”. The </w:t>
      </w:r>
      <w:r w:rsidR="002830D7">
        <w:rPr>
          <w:rFonts w:cs="Arial"/>
          <w:szCs w:val="24"/>
        </w:rPr>
        <w:t xml:space="preserve">relevant </w:t>
      </w:r>
      <w:r w:rsidR="00AC51DE" w:rsidRPr="005E43B8">
        <w:rPr>
          <w:rFonts w:cs="Arial"/>
          <w:szCs w:val="24"/>
        </w:rPr>
        <w:t>belief is to be judged by whether a reasonable person, assumed to know the relevant law and be in possession of the relevant information, would believe that a child may be put a</w:t>
      </w:r>
      <w:r w:rsidR="002830D7">
        <w:rPr>
          <w:rFonts w:cs="Arial"/>
          <w:szCs w:val="24"/>
        </w:rPr>
        <w:t>t</w:t>
      </w:r>
      <w:r>
        <w:rPr>
          <w:rFonts w:cs="Arial"/>
          <w:szCs w:val="24"/>
        </w:rPr>
        <w:t xml:space="preserve"> a material</w:t>
      </w:r>
      <w:r w:rsidR="00AC51DE" w:rsidRPr="005E43B8">
        <w:rPr>
          <w:rFonts w:cs="Arial"/>
          <w:szCs w:val="24"/>
        </w:rPr>
        <w:t xml:space="preserve"> risk of harm. The threshold, therefore, is relatively low.</w:t>
      </w:r>
      <w:r w:rsidR="00155A84">
        <w:rPr>
          <w:rFonts w:cs="Arial"/>
          <w:szCs w:val="24"/>
        </w:rPr>
        <w:t xml:space="preserve"> </w:t>
      </w:r>
      <w:r w:rsidR="00AC51DE" w:rsidRPr="005E43B8">
        <w:rPr>
          <w:rFonts w:cs="Arial"/>
          <w:szCs w:val="24"/>
        </w:rPr>
        <w:t xml:space="preserve">The Tribunal does not need, for example, to be satisfied that there has been any actual harm, or that harm </w:t>
      </w:r>
      <w:r w:rsidR="00772B06" w:rsidRPr="005E43B8">
        <w:rPr>
          <w:rFonts w:cs="Arial"/>
          <w:szCs w:val="24"/>
        </w:rPr>
        <w:t>is</w:t>
      </w:r>
      <w:r w:rsidR="00AC51DE" w:rsidRPr="005E43B8">
        <w:rPr>
          <w:rFonts w:cs="Arial"/>
          <w:szCs w:val="24"/>
        </w:rPr>
        <w:t xml:space="preserve"> likely in </w:t>
      </w:r>
      <w:r w:rsidR="00772B06" w:rsidRPr="005E43B8">
        <w:rPr>
          <w:rFonts w:cs="Arial"/>
          <w:szCs w:val="24"/>
        </w:rPr>
        <w:t xml:space="preserve">the </w:t>
      </w:r>
      <w:r w:rsidR="00AC51DE" w:rsidRPr="005E43B8">
        <w:rPr>
          <w:rFonts w:cs="Arial"/>
          <w:szCs w:val="24"/>
        </w:rPr>
        <w:t xml:space="preserve">future. </w:t>
      </w:r>
      <w:r w:rsidR="00155A84">
        <w:rPr>
          <w:rFonts w:cs="Arial"/>
          <w:szCs w:val="24"/>
        </w:rPr>
        <w:t>That said, as</w:t>
      </w:r>
      <w:r>
        <w:rPr>
          <w:rFonts w:cs="Arial"/>
          <w:szCs w:val="24"/>
        </w:rPr>
        <w:t xml:space="preserve"> we consider</w:t>
      </w:r>
      <w:r w:rsidR="005F0C36">
        <w:rPr>
          <w:rFonts w:cs="Arial"/>
          <w:szCs w:val="24"/>
        </w:rPr>
        <w:t xml:space="preserve"> </w:t>
      </w:r>
      <w:r>
        <w:rPr>
          <w:rFonts w:cs="Arial"/>
          <w:szCs w:val="24"/>
        </w:rPr>
        <w:t>was</w:t>
      </w:r>
      <w:r w:rsidR="00155A84">
        <w:rPr>
          <w:rFonts w:cs="Arial"/>
          <w:szCs w:val="24"/>
        </w:rPr>
        <w:t xml:space="preserve"> made </w:t>
      </w:r>
      <w:r>
        <w:rPr>
          <w:rFonts w:cs="Arial"/>
          <w:szCs w:val="24"/>
        </w:rPr>
        <w:t xml:space="preserve">sufficiently </w:t>
      </w:r>
      <w:r w:rsidR="00155A84">
        <w:rPr>
          <w:rFonts w:cs="Arial"/>
          <w:szCs w:val="24"/>
        </w:rPr>
        <w:t>clear by the Upper Tribunal (</w:t>
      </w:r>
      <w:r w:rsidR="002830D7">
        <w:rPr>
          <w:rFonts w:cs="Arial"/>
          <w:szCs w:val="24"/>
        </w:rPr>
        <w:t>see</w:t>
      </w:r>
      <w:r w:rsidR="00155A84">
        <w:rPr>
          <w:rFonts w:cs="Arial"/>
          <w:szCs w:val="24"/>
        </w:rPr>
        <w:t xml:space="preserve"> paragraph 20) in </w:t>
      </w:r>
      <w:r w:rsidR="00155A84" w:rsidRPr="00155A84">
        <w:rPr>
          <w:rFonts w:cs="Arial"/>
          <w:szCs w:val="24"/>
          <w:u w:val="single"/>
        </w:rPr>
        <w:t>Ofsted v GM</w:t>
      </w:r>
      <w:r w:rsidR="00155A84">
        <w:rPr>
          <w:rFonts w:cs="Arial"/>
          <w:szCs w:val="24"/>
        </w:rPr>
        <w:t xml:space="preserve"> [2009] UKUT 89 (ACC), the contemplated risk must be one of </w:t>
      </w:r>
      <w:r>
        <w:rPr>
          <w:rFonts w:cs="Arial"/>
          <w:szCs w:val="24"/>
        </w:rPr>
        <w:t>“</w:t>
      </w:r>
      <w:r w:rsidR="00155A84">
        <w:rPr>
          <w:rFonts w:cs="Arial"/>
          <w:szCs w:val="24"/>
        </w:rPr>
        <w:t>significant</w:t>
      </w:r>
      <w:r>
        <w:rPr>
          <w:rFonts w:cs="Arial"/>
          <w:szCs w:val="24"/>
        </w:rPr>
        <w:t>”</w:t>
      </w:r>
      <w:r w:rsidR="00155A84">
        <w:rPr>
          <w:rFonts w:cs="Arial"/>
          <w:szCs w:val="24"/>
        </w:rPr>
        <w:t xml:space="preserve"> harm. </w:t>
      </w:r>
      <w:r w:rsidR="00AC51DE" w:rsidRPr="005E43B8">
        <w:rPr>
          <w:rFonts w:cs="Arial"/>
          <w:szCs w:val="24"/>
        </w:rPr>
        <w:t xml:space="preserve">As the Tribunal is focused on </w:t>
      </w:r>
      <w:r w:rsidR="00AC51DE" w:rsidRPr="005E43B8">
        <w:rPr>
          <w:rFonts w:cs="Arial"/>
          <w:szCs w:val="24"/>
        </w:rPr>
        <w:lastRenderedPageBreak/>
        <w:t>assessing current</w:t>
      </w:r>
      <w:r w:rsidR="002830D7">
        <w:rPr>
          <w:rFonts w:cs="Arial"/>
          <w:szCs w:val="24"/>
        </w:rPr>
        <w:t>/</w:t>
      </w:r>
      <w:r w:rsidR="00AC51DE" w:rsidRPr="005E43B8">
        <w:rPr>
          <w:rFonts w:cs="Arial"/>
          <w:szCs w:val="24"/>
        </w:rPr>
        <w:t xml:space="preserve">future risk, </w:t>
      </w:r>
      <w:r w:rsidR="001311BE">
        <w:rPr>
          <w:rFonts w:cs="Arial"/>
          <w:szCs w:val="24"/>
        </w:rPr>
        <w:t>we</w:t>
      </w:r>
      <w:r w:rsidR="00AC51DE" w:rsidRPr="005E43B8">
        <w:rPr>
          <w:rFonts w:cs="Arial"/>
          <w:szCs w:val="24"/>
        </w:rPr>
        <w:t xml:space="preserve"> do not need to make conclusive findings of fact</w:t>
      </w:r>
      <w:r>
        <w:rPr>
          <w:rFonts w:cs="Arial"/>
          <w:szCs w:val="24"/>
        </w:rPr>
        <w:t xml:space="preserve"> (or resolve any associated disputes of fact)</w:t>
      </w:r>
      <w:r w:rsidR="00AC51DE" w:rsidRPr="005E43B8">
        <w:rPr>
          <w:rFonts w:cs="Arial"/>
          <w:szCs w:val="24"/>
        </w:rPr>
        <w:t>.</w:t>
      </w:r>
    </w:p>
    <w:p w14:paraId="73965EBC" w14:textId="77777777" w:rsidR="00AC51DE" w:rsidRPr="005E43B8" w:rsidRDefault="00AC51DE" w:rsidP="005E43B8">
      <w:pPr>
        <w:pStyle w:val="ListParagraph"/>
        <w:tabs>
          <w:tab w:val="left" w:pos="426"/>
        </w:tabs>
        <w:spacing w:line="288" w:lineRule="auto"/>
        <w:ind w:left="426"/>
        <w:jc w:val="both"/>
        <w:rPr>
          <w:rFonts w:cs="Arial"/>
          <w:szCs w:val="24"/>
        </w:rPr>
      </w:pPr>
    </w:p>
    <w:p w14:paraId="70A6E919" w14:textId="46E50E66" w:rsidR="00AC51DE" w:rsidRPr="00155A84" w:rsidRDefault="00126FF2" w:rsidP="00155A84">
      <w:pPr>
        <w:pStyle w:val="ListParagraph"/>
        <w:numPr>
          <w:ilvl w:val="0"/>
          <w:numId w:val="2"/>
        </w:numPr>
        <w:tabs>
          <w:tab w:val="left" w:pos="426"/>
        </w:tabs>
        <w:spacing w:line="288" w:lineRule="auto"/>
        <w:ind w:left="426" w:hanging="426"/>
        <w:jc w:val="both"/>
        <w:rPr>
          <w:rFonts w:cs="Arial"/>
          <w:szCs w:val="24"/>
        </w:rPr>
      </w:pPr>
      <w:r>
        <w:rPr>
          <w:rFonts w:cs="Arial"/>
        </w:rPr>
        <w:t>Second, i</w:t>
      </w:r>
      <w:r w:rsidR="00893C37" w:rsidRPr="00155A84">
        <w:rPr>
          <w:rFonts w:cs="Arial"/>
        </w:rPr>
        <w:t>f</w:t>
      </w:r>
      <w:r w:rsidR="00AC51DE" w:rsidRPr="00155A84">
        <w:rPr>
          <w:rFonts w:cs="Arial"/>
        </w:rPr>
        <w:t xml:space="preserve"> satisfied that the</w:t>
      </w:r>
      <w:r w:rsidR="00EE0B24" w:rsidRPr="00155A84">
        <w:rPr>
          <w:rFonts w:cs="Arial"/>
        </w:rPr>
        <w:t xml:space="preserve"> test/threshold relating to r</w:t>
      </w:r>
      <w:r>
        <w:rPr>
          <w:rFonts w:cs="Arial"/>
        </w:rPr>
        <w:t>isk</w:t>
      </w:r>
      <w:r w:rsidR="00AC51DE" w:rsidRPr="00155A84">
        <w:rPr>
          <w:rFonts w:cs="Arial"/>
        </w:rPr>
        <w:t xml:space="preserve"> is met</w:t>
      </w:r>
      <w:r w:rsidR="00EE0B24" w:rsidRPr="00155A84">
        <w:rPr>
          <w:rFonts w:cs="Arial"/>
        </w:rPr>
        <w:t xml:space="preserve">, </w:t>
      </w:r>
      <w:r>
        <w:rPr>
          <w:rFonts w:cs="Arial"/>
        </w:rPr>
        <w:t>we</w:t>
      </w:r>
      <w:r w:rsidR="00EE0B24" w:rsidRPr="00155A84">
        <w:rPr>
          <w:rFonts w:cs="Arial"/>
        </w:rPr>
        <w:t xml:space="preserve"> </w:t>
      </w:r>
      <w:r w:rsidR="001311BE">
        <w:rPr>
          <w:rFonts w:cs="Arial"/>
        </w:rPr>
        <w:t xml:space="preserve">then </w:t>
      </w:r>
      <w:r w:rsidR="00EE0B24" w:rsidRPr="00155A84">
        <w:rPr>
          <w:rFonts w:cs="Arial"/>
        </w:rPr>
        <w:t xml:space="preserve">need to consider whether, objectively viewed, </w:t>
      </w:r>
      <w:r>
        <w:rPr>
          <w:rFonts w:cs="Arial"/>
        </w:rPr>
        <w:t xml:space="preserve">the </w:t>
      </w:r>
      <w:r w:rsidR="001311BE">
        <w:rPr>
          <w:rFonts w:cs="Arial"/>
        </w:rPr>
        <w:t xml:space="preserve">relevant </w:t>
      </w:r>
      <w:r>
        <w:rPr>
          <w:rFonts w:cs="Arial"/>
        </w:rPr>
        <w:t>regulatory intervention (i.e. the Restriction)</w:t>
      </w:r>
      <w:r w:rsidR="00EE0B24" w:rsidRPr="00155A84">
        <w:rPr>
          <w:rFonts w:cs="Arial"/>
        </w:rPr>
        <w:t xml:space="preserve"> is </w:t>
      </w:r>
      <w:r w:rsidR="00EE0B24" w:rsidRPr="009735BF">
        <w:rPr>
          <w:rFonts w:cs="Arial"/>
          <w:b/>
          <w:bCs/>
        </w:rPr>
        <w:t>proportionate</w:t>
      </w:r>
      <w:r w:rsidR="00155A84" w:rsidRPr="009735BF">
        <w:rPr>
          <w:rFonts w:cs="Arial"/>
        </w:rPr>
        <w:t xml:space="preserve"> in all the </w:t>
      </w:r>
      <w:r w:rsidR="009735BF" w:rsidRPr="009735BF">
        <w:rPr>
          <w:rFonts w:cs="Arial"/>
        </w:rPr>
        <w:t xml:space="preserve">relevant </w:t>
      </w:r>
      <w:r w:rsidR="00155A84" w:rsidRPr="009735BF">
        <w:rPr>
          <w:rFonts w:cs="Arial"/>
        </w:rPr>
        <w:t>circumstances</w:t>
      </w:r>
      <w:r w:rsidR="00EE0B24" w:rsidRPr="00155A84">
        <w:rPr>
          <w:rFonts w:cs="Arial"/>
        </w:rPr>
        <w:t>. The Respondent</w:t>
      </w:r>
      <w:r>
        <w:rPr>
          <w:rFonts w:cs="Arial"/>
        </w:rPr>
        <w:t>, in our view,</w:t>
      </w:r>
      <w:r w:rsidR="00EE0B24" w:rsidRPr="00155A84">
        <w:rPr>
          <w:rFonts w:cs="Arial"/>
        </w:rPr>
        <w:t xml:space="preserve"> bears </w:t>
      </w:r>
      <w:r w:rsidR="00A72AD4" w:rsidRPr="00155A84">
        <w:rPr>
          <w:rFonts w:cs="Arial"/>
        </w:rPr>
        <w:t>a</w:t>
      </w:r>
      <w:r w:rsidR="00EE0B24" w:rsidRPr="00155A84">
        <w:rPr>
          <w:rFonts w:cs="Arial"/>
        </w:rPr>
        <w:t xml:space="preserve"> persuasive burden in relation to that issue.</w:t>
      </w:r>
    </w:p>
    <w:p w14:paraId="05A67C2B" w14:textId="77777777" w:rsidR="00772B06" w:rsidRPr="00E869DB" w:rsidRDefault="00772B06" w:rsidP="005E43B8">
      <w:pPr>
        <w:pStyle w:val="ListParagraph"/>
        <w:tabs>
          <w:tab w:val="left" w:pos="426"/>
        </w:tabs>
        <w:spacing w:line="288" w:lineRule="auto"/>
        <w:ind w:left="426"/>
        <w:jc w:val="both"/>
        <w:rPr>
          <w:rFonts w:cs="Arial"/>
          <w:color w:val="000000" w:themeColor="text1"/>
          <w:szCs w:val="24"/>
        </w:rPr>
      </w:pPr>
    </w:p>
    <w:p w14:paraId="6C6B163A" w14:textId="0CD956D8" w:rsidR="00EE0B24" w:rsidRDefault="00AD47D2" w:rsidP="005E43B8">
      <w:pPr>
        <w:pStyle w:val="ListParagraph"/>
        <w:numPr>
          <w:ilvl w:val="0"/>
          <w:numId w:val="2"/>
        </w:numPr>
        <w:tabs>
          <w:tab w:val="left" w:pos="426"/>
        </w:tabs>
        <w:spacing w:line="288" w:lineRule="auto"/>
        <w:ind w:left="426" w:hanging="426"/>
        <w:jc w:val="both"/>
        <w:rPr>
          <w:rFonts w:cs="Arial"/>
          <w:szCs w:val="24"/>
        </w:rPr>
      </w:pPr>
      <w:r>
        <w:rPr>
          <w:rFonts w:cs="Arial"/>
          <w:szCs w:val="24"/>
        </w:rPr>
        <w:t>We have had careful regard to the principles set out above</w:t>
      </w:r>
      <w:r w:rsidR="009735BF">
        <w:rPr>
          <w:rFonts w:cs="Arial"/>
          <w:szCs w:val="24"/>
        </w:rPr>
        <w:t>, and the evidence before us (limited though it is),</w:t>
      </w:r>
      <w:r>
        <w:rPr>
          <w:rFonts w:cs="Arial"/>
          <w:szCs w:val="24"/>
        </w:rPr>
        <w:t xml:space="preserve"> and </w:t>
      </w:r>
      <w:r w:rsidR="00EE0B24" w:rsidRPr="005E43B8">
        <w:rPr>
          <w:rFonts w:cs="Arial"/>
          <w:szCs w:val="24"/>
        </w:rPr>
        <w:t>approached this matter with an open mind.</w:t>
      </w:r>
    </w:p>
    <w:p w14:paraId="5E2AC040" w14:textId="77777777" w:rsidR="009735BF" w:rsidRDefault="009735BF" w:rsidP="00ED5D0F">
      <w:pPr>
        <w:spacing w:line="288" w:lineRule="auto"/>
        <w:jc w:val="both"/>
        <w:rPr>
          <w:rFonts w:cs="Arial"/>
          <w:b/>
          <w:color w:val="auto"/>
          <w:sz w:val="24"/>
          <w:u w:val="single"/>
        </w:rPr>
      </w:pPr>
    </w:p>
    <w:p w14:paraId="39A7D154" w14:textId="6759BE85" w:rsidR="00ED5D0F" w:rsidRPr="00A4287F" w:rsidRDefault="002C6684" w:rsidP="00ED5D0F">
      <w:pPr>
        <w:spacing w:line="288" w:lineRule="auto"/>
        <w:jc w:val="both"/>
        <w:rPr>
          <w:rFonts w:cs="Arial"/>
          <w:b/>
          <w:color w:val="auto"/>
          <w:sz w:val="24"/>
          <w:u w:val="single"/>
        </w:rPr>
      </w:pPr>
      <w:r>
        <w:rPr>
          <w:rFonts w:cs="Arial"/>
          <w:b/>
          <w:color w:val="auto"/>
          <w:sz w:val="24"/>
          <w:u w:val="single"/>
        </w:rPr>
        <w:t>Chronology</w:t>
      </w:r>
    </w:p>
    <w:p w14:paraId="361CD1CF" w14:textId="77777777" w:rsidR="002C11FC" w:rsidRPr="002C11FC" w:rsidRDefault="002C11FC" w:rsidP="002C11FC">
      <w:pPr>
        <w:rPr>
          <w:rFonts w:cs="Arial"/>
        </w:rPr>
      </w:pPr>
    </w:p>
    <w:p w14:paraId="3A15BE09" w14:textId="18BB5A31" w:rsidR="00ED5D0F" w:rsidRDefault="00ED5D0F" w:rsidP="00ED5D0F">
      <w:pPr>
        <w:pStyle w:val="ListParagraph"/>
        <w:numPr>
          <w:ilvl w:val="0"/>
          <w:numId w:val="2"/>
        </w:numPr>
        <w:tabs>
          <w:tab w:val="left" w:pos="426"/>
        </w:tabs>
        <w:spacing w:line="288" w:lineRule="auto"/>
        <w:ind w:left="426" w:hanging="426"/>
        <w:jc w:val="both"/>
        <w:rPr>
          <w:rFonts w:cs="Arial"/>
          <w:szCs w:val="24"/>
        </w:rPr>
      </w:pPr>
      <w:r>
        <w:rPr>
          <w:rFonts w:cs="Arial"/>
          <w:szCs w:val="24"/>
        </w:rPr>
        <w:t>Given the broad principle that our role is primarily to assess risk (and then to consider the overall proportionality of the intervention being appealed), rather than to resolve factual disputes, nothing in this section</w:t>
      </w:r>
      <w:r w:rsidR="002C6684">
        <w:rPr>
          <w:rFonts w:cs="Arial"/>
          <w:szCs w:val="24"/>
        </w:rPr>
        <w:t xml:space="preserve"> (or anywhere else in </w:t>
      </w:r>
      <w:r w:rsidR="001311BE">
        <w:rPr>
          <w:rFonts w:cs="Arial"/>
          <w:szCs w:val="24"/>
        </w:rPr>
        <w:t>t</w:t>
      </w:r>
      <w:r w:rsidR="002C6684">
        <w:rPr>
          <w:rFonts w:cs="Arial"/>
          <w:szCs w:val="24"/>
        </w:rPr>
        <w:t>his document)</w:t>
      </w:r>
      <w:r>
        <w:rPr>
          <w:rFonts w:cs="Arial"/>
          <w:szCs w:val="24"/>
        </w:rPr>
        <w:t xml:space="preserve"> ought to be taken as </w:t>
      </w:r>
      <w:r w:rsidR="001311BE">
        <w:rPr>
          <w:rFonts w:cs="Arial"/>
          <w:szCs w:val="24"/>
        </w:rPr>
        <w:t>any</w:t>
      </w:r>
      <w:r>
        <w:rPr>
          <w:rFonts w:cs="Arial"/>
          <w:szCs w:val="24"/>
        </w:rPr>
        <w:t xml:space="preserve"> conclusive finding of fact. However, it is nonetheless important that we set out what appears to us to be the most relevant context.</w:t>
      </w:r>
      <w:r w:rsidR="00940E28">
        <w:rPr>
          <w:rFonts w:cs="Arial"/>
          <w:szCs w:val="24"/>
        </w:rPr>
        <w:t xml:space="preserve"> What follows is taken from our reading of the documents</w:t>
      </w:r>
      <w:r w:rsidR="002C6684">
        <w:rPr>
          <w:rFonts w:cs="Arial"/>
          <w:szCs w:val="24"/>
        </w:rPr>
        <w:t xml:space="preserve"> before us</w:t>
      </w:r>
      <w:r w:rsidR="00940E28">
        <w:rPr>
          <w:rFonts w:cs="Arial"/>
          <w:szCs w:val="24"/>
        </w:rPr>
        <w:t>.</w:t>
      </w:r>
    </w:p>
    <w:p w14:paraId="1E172FEE" w14:textId="77777777" w:rsidR="002C6684" w:rsidRDefault="002C6684" w:rsidP="002C6684">
      <w:pPr>
        <w:pStyle w:val="ListParagraph"/>
        <w:tabs>
          <w:tab w:val="left" w:pos="426"/>
        </w:tabs>
        <w:spacing w:line="288" w:lineRule="auto"/>
        <w:ind w:left="426"/>
        <w:jc w:val="both"/>
        <w:rPr>
          <w:rFonts w:cs="Arial"/>
          <w:szCs w:val="24"/>
        </w:rPr>
      </w:pPr>
    </w:p>
    <w:p w14:paraId="1C18D7B9" w14:textId="77777777" w:rsidR="002C6684" w:rsidRDefault="002C6684" w:rsidP="002C6684">
      <w:pPr>
        <w:pStyle w:val="ListParagraph"/>
        <w:numPr>
          <w:ilvl w:val="0"/>
          <w:numId w:val="2"/>
        </w:numPr>
        <w:tabs>
          <w:tab w:val="left" w:pos="426"/>
        </w:tabs>
        <w:spacing w:line="288" w:lineRule="auto"/>
        <w:ind w:left="426" w:hanging="426"/>
        <w:jc w:val="both"/>
        <w:rPr>
          <w:rFonts w:cs="Arial"/>
          <w:szCs w:val="24"/>
        </w:rPr>
      </w:pPr>
      <w:r>
        <w:rPr>
          <w:rFonts w:cs="Arial"/>
          <w:szCs w:val="24"/>
        </w:rPr>
        <w:t>The basic chronology appears likely to be as follows:</w:t>
      </w:r>
    </w:p>
    <w:p w14:paraId="11619A41" w14:textId="77777777" w:rsidR="00D9136D" w:rsidRDefault="00D9136D" w:rsidP="00D9136D">
      <w:pPr>
        <w:pStyle w:val="ListParagraph"/>
        <w:tabs>
          <w:tab w:val="left" w:pos="851"/>
        </w:tabs>
        <w:spacing w:line="288" w:lineRule="auto"/>
        <w:ind w:left="851"/>
        <w:jc w:val="both"/>
        <w:rPr>
          <w:rFonts w:cs="Arial"/>
        </w:rPr>
      </w:pPr>
    </w:p>
    <w:p w14:paraId="194B081E" w14:textId="28452F3F" w:rsidR="002C6684" w:rsidRDefault="002C6684" w:rsidP="002C6684">
      <w:pPr>
        <w:pStyle w:val="ListParagraph"/>
        <w:numPr>
          <w:ilvl w:val="0"/>
          <w:numId w:val="21"/>
        </w:numPr>
        <w:tabs>
          <w:tab w:val="left" w:pos="851"/>
        </w:tabs>
        <w:spacing w:line="288" w:lineRule="auto"/>
        <w:ind w:left="851" w:hanging="425"/>
        <w:jc w:val="both"/>
        <w:rPr>
          <w:rFonts w:cs="Arial"/>
        </w:rPr>
      </w:pPr>
      <w:r>
        <w:rPr>
          <w:rFonts w:cs="Arial"/>
        </w:rPr>
        <w:t xml:space="preserve">On </w:t>
      </w:r>
      <w:r w:rsidRPr="002C6684">
        <w:rPr>
          <w:rFonts w:cs="Arial"/>
        </w:rPr>
        <w:t>1 February 2024</w:t>
      </w:r>
      <w:r>
        <w:rPr>
          <w:rFonts w:cs="Arial"/>
        </w:rPr>
        <w:t>, the Appellant registered, with the Respondent, in relation to the relevant service.</w:t>
      </w:r>
    </w:p>
    <w:p w14:paraId="63AB4D11" w14:textId="77777777" w:rsidR="00396B2A" w:rsidRDefault="00396B2A" w:rsidP="00396B2A">
      <w:pPr>
        <w:pStyle w:val="ListParagraph"/>
        <w:tabs>
          <w:tab w:val="left" w:pos="851"/>
        </w:tabs>
        <w:spacing w:line="288" w:lineRule="auto"/>
        <w:ind w:left="851"/>
        <w:jc w:val="both"/>
        <w:rPr>
          <w:rFonts w:cs="Arial"/>
          <w:szCs w:val="24"/>
        </w:rPr>
      </w:pPr>
    </w:p>
    <w:p w14:paraId="1941FFA7" w14:textId="52C3E5EA" w:rsidR="002C6684" w:rsidRDefault="002C6684" w:rsidP="002C6684">
      <w:pPr>
        <w:pStyle w:val="ListParagraph"/>
        <w:numPr>
          <w:ilvl w:val="0"/>
          <w:numId w:val="21"/>
        </w:numPr>
        <w:tabs>
          <w:tab w:val="left" w:pos="851"/>
        </w:tabs>
        <w:spacing w:line="288" w:lineRule="auto"/>
        <w:ind w:left="851" w:hanging="425"/>
        <w:jc w:val="both"/>
        <w:rPr>
          <w:rFonts w:cs="Arial"/>
          <w:szCs w:val="24"/>
        </w:rPr>
      </w:pPr>
      <w:r>
        <w:rPr>
          <w:rFonts w:cs="Arial"/>
          <w:szCs w:val="24"/>
        </w:rPr>
        <w:t xml:space="preserve">On 27-31 January 2025, the Respondent undertook a full inspection of the Appellant’s service (“the First Inspection”), forming </w:t>
      </w:r>
      <w:r w:rsidR="001311BE">
        <w:rPr>
          <w:rFonts w:cs="Arial"/>
          <w:szCs w:val="24"/>
        </w:rPr>
        <w:t>a</w:t>
      </w:r>
      <w:r>
        <w:rPr>
          <w:rFonts w:cs="Arial"/>
          <w:szCs w:val="24"/>
        </w:rPr>
        <w:t xml:space="preserve"> view that there were a number of significant concerns.</w:t>
      </w:r>
      <w:r w:rsidR="006D2C9F">
        <w:rPr>
          <w:rFonts w:cs="Arial"/>
          <w:szCs w:val="24"/>
        </w:rPr>
        <w:t xml:space="preserve"> At the time of th</w:t>
      </w:r>
      <w:r w:rsidR="001311BE">
        <w:rPr>
          <w:rFonts w:cs="Arial"/>
          <w:szCs w:val="24"/>
        </w:rPr>
        <w:t>e</w:t>
      </w:r>
      <w:r w:rsidR="006D2C9F">
        <w:rPr>
          <w:rFonts w:cs="Arial"/>
          <w:szCs w:val="24"/>
        </w:rPr>
        <w:t xml:space="preserve"> </w:t>
      </w:r>
      <w:r w:rsidR="001311BE">
        <w:rPr>
          <w:rFonts w:cs="Arial"/>
          <w:szCs w:val="24"/>
        </w:rPr>
        <w:t>First I</w:t>
      </w:r>
      <w:r w:rsidR="006D2C9F">
        <w:rPr>
          <w:rFonts w:cs="Arial"/>
          <w:szCs w:val="24"/>
        </w:rPr>
        <w:t>nspection, the</w:t>
      </w:r>
      <w:r w:rsidR="00203BE6">
        <w:rPr>
          <w:rFonts w:cs="Arial"/>
          <w:szCs w:val="24"/>
        </w:rPr>
        <w:t xml:space="preserve"> Appellant was accommodating seven looked-after children aged 16-17.</w:t>
      </w:r>
    </w:p>
    <w:p w14:paraId="51C3F3AD" w14:textId="77777777" w:rsidR="00396B2A" w:rsidRDefault="00396B2A" w:rsidP="00396B2A">
      <w:pPr>
        <w:pStyle w:val="ListParagraph"/>
        <w:tabs>
          <w:tab w:val="left" w:pos="851"/>
        </w:tabs>
        <w:spacing w:line="288" w:lineRule="auto"/>
        <w:ind w:left="851"/>
        <w:jc w:val="both"/>
        <w:rPr>
          <w:rFonts w:cs="Arial"/>
          <w:szCs w:val="24"/>
        </w:rPr>
      </w:pPr>
    </w:p>
    <w:p w14:paraId="1ABFD2F3" w14:textId="719EA45F" w:rsidR="002C6684" w:rsidRDefault="002C6684" w:rsidP="002C6684">
      <w:pPr>
        <w:pStyle w:val="ListParagraph"/>
        <w:numPr>
          <w:ilvl w:val="0"/>
          <w:numId w:val="21"/>
        </w:numPr>
        <w:tabs>
          <w:tab w:val="left" w:pos="851"/>
        </w:tabs>
        <w:spacing w:line="288" w:lineRule="auto"/>
        <w:ind w:left="851" w:hanging="425"/>
        <w:jc w:val="both"/>
        <w:rPr>
          <w:rFonts w:cs="Arial"/>
          <w:szCs w:val="24"/>
        </w:rPr>
      </w:pPr>
      <w:r>
        <w:rPr>
          <w:rFonts w:cs="Arial"/>
          <w:szCs w:val="24"/>
        </w:rPr>
        <w:t>On 7 February 2025, the Respondent served the Appellant two compliance notices following and as a result of the First Inspection, providing the Appellant with time to demonstrate compliance.</w:t>
      </w:r>
    </w:p>
    <w:p w14:paraId="1940279E" w14:textId="77777777" w:rsidR="00760E21" w:rsidRDefault="00760E21" w:rsidP="002C6684">
      <w:pPr>
        <w:pStyle w:val="ListParagraph"/>
        <w:tabs>
          <w:tab w:val="left" w:pos="851"/>
        </w:tabs>
        <w:spacing w:line="288" w:lineRule="auto"/>
        <w:ind w:left="851"/>
        <w:jc w:val="both"/>
        <w:rPr>
          <w:rFonts w:cs="Arial"/>
          <w:szCs w:val="24"/>
        </w:rPr>
      </w:pPr>
    </w:p>
    <w:p w14:paraId="584DB149" w14:textId="20C8FE5F" w:rsidR="002C6684" w:rsidRDefault="002C6684" w:rsidP="002C6684">
      <w:pPr>
        <w:pStyle w:val="ListParagraph"/>
        <w:numPr>
          <w:ilvl w:val="0"/>
          <w:numId w:val="21"/>
        </w:numPr>
        <w:tabs>
          <w:tab w:val="left" w:pos="851"/>
        </w:tabs>
        <w:spacing w:line="288" w:lineRule="auto"/>
        <w:ind w:left="851" w:hanging="425"/>
        <w:jc w:val="both"/>
        <w:rPr>
          <w:rFonts w:cs="Arial"/>
          <w:szCs w:val="24"/>
        </w:rPr>
      </w:pPr>
      <w:r>
        <w:rPr>
          <w:rFonts w:cs="Arial"/>
          <w:szCs w:val="24"/>
        </w:rPr>
        <w:t>On 25 March 2025, the Respondent carried out a monitoring visit</w:t>
      </w:r>
      <w:r w:rsidR="001365AD">
        <w:rPr>
          <w:rFonts w:cs="Arial"/>
          <w:szCs w:val="24"/>
        </w:rPr>
        <w:t xml:space="preserve"> (“the Monitoring Visit”)</w:t>
      </w:r>
      <w:r>
        <w:rPr>
          <w:rFonts w:cs="Arial"/>
          <w:szCs w:val="24"/>
        </w:rPr>
        <w:t xml:space="preserve"> of the Appellant, following which (on 27 March 2025) it</w:t>
      </w:r>
      <w:r w:rsidR="001311BE">
        <w:rPr>
          <w:rFonts w:cs="Arial"/>
          <w:szCs w:val="24"/>
        </w:rPr>
        <w:t xml:space="preserve"> took a view</w:t>
      </w:r>
      <w:r>
        <w:rPr>
          <w:rFonts w:cs="Arial"/>
          <w:szCs w:val="24"/>
        </w:rPr>
        <w:t xml:space="preserve"> that the Appellant had </w:t>
      </w:r>
      <w:r w:rsidR="00203BE6">
        <w:rPr>
          <w:rFonts w:cs="Arial"/>
          <w:szCs w:val="24"/>
        </w:rPr>
        <w:t xml:space="preserve">made significant improvements and </w:t>
      </w:r>
      <w:r>
        <w:rPr>
          <w:rFonts w:cs="Arial"/>
          <w:szCs w:val="24"/>
        </w:rPr>
        <w:t xml:space="preserve">taken steps </w:t>
      </w:r>
      <w:r w:rsidR="00203BE6">
        <w:rPr>
          <w:rFonts w:cs="Arial"/>
          <w:szCs w:val="24"/>
        </w:rPr>
        <w:t xml:space="preserve">designed </w:t>
      </w:r>
      <w:r>
        <w:rPr>
          <w:rFonts w:cs="Arial"/>
          <w:szCs w:val="24"/>
        </w:rPr>
        <w:t>to meet the compliance notices served on 7 February 2025.</w:t>
      </w:r>
      <w:r w:rsidR="00203BE6">
        <w:rPr>
          <w:rFonts w:cs="Arial"/>
          <w:szCs w:val="24"/>
        </w:rPr>
        <w:t xml:space="preserve"> At the time of the visit, the Appellant was still accommodating seven look-after children aged 16-17.</w:t>
      </w:r>
    </w:p>
    <w:p w14:paraId="0D2DBF44" w14:textId="77777777" w:rsidR="00A42A06" w:rsidRPr="005F29F8" w:rsidRDefault="00A42A06" w:rsidP="005F29F8">
      <w:pPr>
        <w:tabs>
          <w:tab w:val="left" w:pos="851"/>
        </w:tabs>
        <w:spacing w:line="288" w:lineRule="auto"/>
        <w:jc w:val="both"/>
        <w:rPr>
          <w:rFonts w:cs="Arial"/>
        </w:rPr>
      </w:pPr>
    </w:p>
    <w:p w14:paraId="39EDBDD0" w14:textId="11808C4B" w:rsidR="002C6684" w:rsidRDefault="002C6684" w:rsidP="002C6684">
      <w:pPr>
        <w:pStyle w:val="ListParagraph"/>
        <w:numPr>
          <w:ilvl w:val="0"/>
          <w:numId w:val="21"/>
        </w:numPr>
        <w:tabs>
          <w:tab w:val="left" w:pos="851"/>
        </w:tabs>
        <w:spacing w:line="288" w:lineRule="auto"/>
        <w:ind w:left="851" w:hanging="425"/>
        <w:jc w:val="both"/>
        <w:rPr>
          <w:rFonts w:cs="Arial"/>
          <w:szCs w:val="24"/>
        </w:rPr>
      </w:pPr>
      <w:r>
        <w:rPr>
          <w:rFonts w:cs="Arial"/>
          <w:szCs w:val="24"/>
        </w:rPr>
        <w:t xml:space="preserve">On 7-11 July 2025, </w:t>
      </w:r>
      <w:r w:rsidR="001311BE">
        <w:rPr>
          <w:rFonts w:cs="Arial"/>
          <w:szCs w:val="24"/>
        </w:rPr>
        <w:t xml:space="preserve">however, </w:t>
      </w:r>
      <w:r>
        <w:rPr>
          <w:rFonts w:cs="Arial"/>
          <w:szCs w:val="24"/>
        </w:rPr>
        <w:t xml:space="preserve">the Respondent undertook a further full </w:t>
      </w:r>
      <w:r>
        <w:rPr>
          <w:rFonts w:cs="Arial"/>
          <w:szCs w:val="24"/>
        </w:rPr>
        <w:lastRenderedPageBreak/>
        <w:t xml:space="preserve">inspection of the Appellant’s service (“the Second Inspection”), </w:t>
      </w:r>
      <w:r w:rsidR="001311BE">
        <w:rPr>
          <w:rFonts w:cs="Arial"/>
          <w:szCs w:val="24"/>
        </w:rPr>
        <w:t xml:space="preserve">once </w:t>
      </w:r>
      <w:r>
        <w:rPr>
          <w:rFonts w:cs="Arial"/>
          <w:szCs w:val="24"/>
        </w:rPr>
        <w:t xml:space="preserve">again forming </w:t>
      </w:r>
      <w:r w:rsidR="001311BE">
        <w:rPr>
          <w:rFonts w:cs="Arial"/>
          <w:szCs w:val="24"/>
        </w:rPr>
        <w:t xml:space="preserve">a </w:t>
      </w:r>
      <w:r>
        <w:rPr>
          <w:rFonts w:cs="Arial"/>
          <w:szCs w:val="24"/>
        </w:rPr>
        <w:t>view that there were a number of</w:t>
      </w:r>
      <w:r w:rsidR="00396B2A">
        <w:rPr>
          <w:rFonts w:cs="Arial"/>
          <w:szCs w:val="24"/>
        </w:rPr>
        <w:t xml:space="preserve"> significant </w:t>
      </w:r>
      <w:r w:rsidR="001311BE">
        <w:rPr>
          <w:rFonts w:cs="Arial"/>
          <w:szCs w:val="24"/>
        </w:rPr>
        <w:t xml:space="preserve">relevant </w:t>
      </w:r>
      <w:r w:rsidR="00396B2A">
        <w:rPr>
          <w:rFonts w:cs="Arial"/>
          <w:szCs w:val="24"/>
        </w:rPr>
        <w:t>concerns.</w:t>
      </w:r>
    </w:p>
    <w:p w14:paraId="07A1B9B6" w14:textId="77777777" w:rsidR="00396B2A" w:rsidRDefault="00396B2A" w:rsidP="00396B2A">
      <w:pPr>
        <w:pStyle w:val="ListParagraph"/>
        <w:tabs>
          <w:tab w:val="left" w:pos="851"/>
        </w:tabs>
        <w:spacing w:line="288" w:lineRule="auto"/>
        <w:ind w:left="851"/>
        <w:jc w:val="both"/>
        <w:rPr>
          <w:rFonts w:cs="Arial"/>
          <w:szCs w:val="24"/>
        </w:rPr>
      </w:pPr>
    </w:p>
    <w:p w14:paraId="02525D70" w14:textId="0FA6A8AD" w:rsidR="00396B2A" w:rsidRDefault="00396B2A" w:rsidP="002C6684">
      <w:pPr>
        <w:pStyle w:val="ListParagraph"/>
        <w:numPr>
          <w:ilvl w:val="0"/>
          <w:numId w:val="21"/>
        </w:numPr>
        <w:tabs>
          <w:tab w:val="left" w:pos="851"/>
        </w:tabs>
        <w:spacing w:line="288" w:lineRule="auto"/>
        <w:ind w:left="851" w:hanging="425"/>
        <w:jc w:val="both"/>
        <w:rPr>
          <w:rFonts w:cs="Arial"/>
          <w:szCs w:val="24"/>
        </w:rPr>
      </w:pPr>
      <w:r>
        <w:rPr>
          <w:rFonts w:cs="Arial"/>
          <w:szCs w:val="24"/>
        </w:rPr>
        <w:t>On 11 July 2025, the Respondent made the Decision and served the Notice.</w:t>
      </w:r>
    </w:p>
    <w:p w14:paraId="0DD3C12E" w14:textId="77777777" w:rsidR="00396B2A" w:rsidRPr="00DC7AA8" w:rsidRDefault="00396B2A" w:rsidP="00396B2A">
      <w:pPr>
        <w:pStyle w:val="ListParagraph"/>
        <w:tabs>
          <w:tab w:val="left" w:pos="851"/>
        </w:tabs>
        <w:spacing w:line="288" w:lineRule="auto"/>
        <w:ind w:left="851"/>
        <w:jc w:val="both"/>
        <w:rPr>
          <w:rFonts w:cs="Arial"/>
          <w:color w:val="000000" w:themeColor="text1"/>
          <w:szCs w:val="24"/>
        </w:rPr>
      </w:pPr>
    </w:p>
    <w:p w14:paraId="0843C5D6" w14:textId="123D2162" w:rsidR="00396B2A" w:rsidRPr="00DC7AA8" w:rsidRDefault="00396B2A" w:rsidP="002C6684">
      <w:pPr>
        <w:pStyle w:val="ListParagraph"/>
        <w:numPr>
          <w:ilvl w:val="0"/>
          <w:numId w:val="21"/>
        </w:numPr>
        <w:tabs>
          <w:tab w:val="left" w:pos="851"/>
        </w:tabs>
        <w:spacing w:line="288" w:lineRule="auto"/>
        <w:ind w:left="851" w:hanging="425"/>
        <w:jc w:val="both"/>
        <w:rPr>
          <w:rFonts w:cs="Arial"/>
          <w:color w:val="000000" w:themeColor="text1"/>
          <w:szCs w:val="24"/>
        </w:rPr>
      </w:pPr>
      <w:r w:rsidRPr="00DC7AA8">
        <w:rPr>
          <w:rFonts w:cs="Arial"/>
          <w:color w:val="000000" w:themeColor="text1"/>
          <w:szCs w:val="24"/>
        </w:rPr>
        <w:t xml:space="preserve">On 16 July 2025, the Respondent </w:t>
      </w:r>
      <w:r w:rsidR="001311BE">
        <w:rPr>
          <w:rFonts w:cs="Arial"/>
          <w:color w:val="000000" w:themeColor="text1"/>
          <w:szCs w:val="24"/>
        </w:rPr>
        <w:t xml:space="preserve">also </w:t>
      </w:r>
      <w:r w:rsidRPr="00DC7AA8">
        <w:rPr>
          <w:rFonts w:cs="Arial"/>
          <w:color w:val="000000" w:themeColor="text1"/>
          <w:szCs w:val="24"/>
        </w:rPr>
        <w:t>served the Appellant with two further compliance notices following and as a result of the Second Inspection, providing the Appellant with time (i.e. until 9 September 2025) to demonstrate compliance.</w:t>
      </w:r>
    </w:p>
    <w:p w14:paraId="41FE12DA" w14:textId="77777777" w:rsidR="00396B2A" w:rsidRPr="00DC7AA8" w:rsidRDefault="00396B2A" w:rsidP="00396B2A">
      <w:pPr>
        <w:pStyle w:val="ListParagraph"/>
        <w:tabs>
          <w:tab w:val="left" w:pos="851"/>
        </w:tabs>
        <w:spacing w:line="288" w:lineRule="auto"/>
        <w:ind w:left="851"/>
        <w:jc w:val="both"/>
        <w:rPr>
          <w:rFonts w:cs="Arial"/>
          <w:color w:val="000000" w:themeColor="text1"/>
          <w:szCs w:val="24"/>
        </w:rPr>
      </w:pPr>
    </w:p>
    <w:p w14:paraId="4ED7B44A" w14:textId="186F5BB0" w:rsidR="00396B2A" w:rsidRPr="00DC7AA8" w:rsidRDefault="00396B2A" w:rsidP="002C6684">
      <w:pPr>
        <w:pStyle w:val="ListParagraph"/>
        <w:numPr>
          <w:ilvl w:val="0"/>
          <w:numId w:val="21"/>
        </w:numPr>
        <w:tabs>
          <w:tab w:val="left" w:pos="851"/>
        </w:tabs>
        <w:spacing w:line="288" w:lineRule="auto"/>
        <w:ind w:left="851" w:hanging="425"/>
        <w:jc w:val="both"/>
        <w:rPr>
          <w:rFonts w:cs="Arial"/>
          <w:color w:val="000000" w:themeColor="text1"/>
          <w:szCs w:val="24"/>
        </w:rPr>
      </w:pPr>
      <w:r w:rsidRPr="00DC7AA8">
        <w:rPr>
          <w:rFonts w:cs="Arial"/>
          <w:color w:val="000000" w:themeColor="text1"/>
          <w:szCs w:val="24"/>
        </w:rPr>
        <w:t>On 5 August 2025, the Appellant lodged the Appeal against the Notice.</w:t>
      </w:r>
      <w:r w:rsidR="001311BE">
        <w:rPr>
          <w:rFonts w:cs="Arial"/>
          <w:color w:val="000000" w:themeColor="text1"/>
          <w:szCs w:val="24"/>
        </w:rPr>
        <w:t xml:space="preserve"> The Restriction, therefore, is our principal focus.</w:t>
      </w:r>
    </w:p>
    <w:p w14:paraId="0C4F6449" w14:textId="77777777" w:rsidR="001365AD" w:rsidRPr="00DC7AA8" w:rsidRDefault="001365AD" w:rsidP="001365AD">
      <w:pPr>
        <w:pStyle w:val="Default"/>
        <w:spacing w:line="288" w:lineRule="auto"/>
        <w:jc w:val="both"/>
        <w:rPr>
          <w:rFonts w:ascii="Arial" w:hAnsi="Arial" w:cs="Arial"/>
          <w:b/>
          <w:color w:val="000000" w:themeColor="text1"/>
          <w:u w:val="single"/>
        </w:rPr>
      </w:pPr>
    </w:p>
    <w:p w14:paraId="5CC6FC6A" w14:textId="31113EBB" w:rsidR="001365AD" w:rsidRPr="00DC7AA8" w:rsidRDefault="001365AD" w:rsidP="001365AD">
      <w:pPr>
        <w:pStyle w:val="Default"/>
        <w:spacing w:line="288" w:lineRule="auto"/>
        <w:jc w:val="both"/>
        <w:rPr>
          <w:rFonts w:ascii="Arial" w:hAnsi="Arial" w:cs="Arial"/>
          <w:b/>
          <w:color w:val="000000" w:themeColor="text1"/>
          <w:u w:val="single"/>
        </w:rPr>
      </w:pPr>
      <w:r w:rsidRPr="00DC7AA8">
        <w:rPr>
          <w:rFonts w:ascii="Arial" w:hAnsi="Arial" w:cs="Arial"/>
          <w:b/>
          <w:color w:val="000000" w:themeColor="text1"/>
          <w:u w:val="single"/>
        </w:rPr>
        <w:t>Summary of Parties’ Positions</w:t>
      </w:r>
    </w:p>
    <w:p w14:paraId="58CE5BAD" w14:textId="77777777" w:rsidR="001365AD" w:rsidRPr="00DC7AA8" w:rsidRDefault="001365AD" w:rsidP="001365AD">
      <w:pPr>
        <w:pStyle w:val="ListParagraph"/>
        <w:tabs>
          <w:tab w:val="left" w:pos="426"/>
        </w:tabs>
        <w:spacing w:line="288" w:lineRule="auto"/>
        <w:ind w:left="426"/>
        <w:jc w:val="both"/>
        <w:rPr>
          <w:rFonts w:cs="Arial"/>
          <w:color w:val="000000" w:themeColor="text1"/>
          <w:szCs w:val="24"/>
        </w:rPr>
      </w:pPr>
    </w:p>
    <w:p w14:paraId="600AAA8F" w14:textId="415B72E6" w:rsidR="001365AD" w:rsidRPr="00DC7AA8" w:rsidRDefault="001365AD" w:rsidP="001365AD">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In very broad summary, the Respondent’s position is that the test in relation to risk is readily made out. The First Inspection revealed significant concerns. While it appeared by the time of the Monitoring Visit that the Appellant had demonstrated sufficient improvement/compliance, it</w:t>
      </w:r>
      <w:r w:rsidR="002F21FB">
        <w:rPr>
          <w:rFonts w:cs="Arial"/>
          <w:color w:val="000000" w:themeColor="text1"/>
          <w:szCs w:val="24"/>
        </w:rPr>
        <w:t xml:space="preserve"> subsequently</w:t>
      </w:r>
      <w:r w:rsidRPr="00DC7AA8">
        <w:rPr>
          <w:rFonts w:cs="Arial"/>
          <w:color w:val="000000" w:themeColor="text1"/>
          <w:szCs w:val="24"/>
        </w:rPr>
        <w:t xml:space="preserve"> became clear at the Second Inspection that there remained significant concerns and underlying issues. Taken together</w:t>
      </w:r>
      <w:r w:rsidR="002F21FB">
        <w:rPr>
          <w:rFonts w:cs="Arial"/>
          <w:color w:val="000000" w:themeColor="text1"/>
          <w:szCs w:val="24"/>
        </w:rPr>
        <w:t>,</w:t>
      </w:r>
      <w:r w:rsidRPr="00DC7AA8">
        <w:rPr>
          <w:rFonts w:cs="Arial"/>
          <w:color w:val="000000" w:themeColor="text1"/>
          <w:szCs w:val="24"/>
        </w:rPr>
        <w:t xml:space="preserve"> along with the material provided by the Appellant in the course of the Appeal, it is clear, the Respondent submits, that children would be put at material risk of harm without the Restriction an</w:t>
      </w:r>
      <w:r w:rsidR="002F21FB">
        <w:rPr>
          <w:rFonts w:cs="Arial"/>
          <w:color w:val="000000" w:themeColor="text1"/>
          <w:szCs w:val="24"/>
        </w:rPr>
        <w:t>d</w:t>
      </w:r>
      <w:r w:rsidRPr="00DC7AA8">
        <w:rPr>
          <w:rFonts w:cs="Arial"/>
          <w:color w:val="000000" w:themeColor="text1"/>
          <w:szCs w:val="24"/>
        </w:rPr>
        <w:t xml:space="preserve"> </w:t>
      </w:r>
      <w:r w:rsidR="002F21FB">
        <w:rPr>
          <w:rFonts w:cs="Arial"/>
          <w:color w:val="000000" w:themeColor="text1"/>
          <w:szCs w:val="24"/>
        </w:rPr>
        <w:t xml:space="preserve">that </w:t>
      </w:r>
      <w:r w:rsidRPr="00DC7AA8">
        <w:rPr>
          <w:rFonts w:cs="Arial"/>
          <w:color w:val="000000" w:themeColor="text1"/>
          <w:szCs w:val="24"/>
        </w:rPr>
        <w:t>the latter is proportionate.</w:t>
      </w:r>
    </w:p>
    <w:p w14:paraId="6A7CEF06" w14:textId="77777777" w:rsidR="001365AD" w:rsidRPr="00DC7AA8" w:rsidRDefault="001365AD" w:rsidP="001365AD">
      <w:pPr>
        <w:pStyle w:val="ListParagraph"/>
        <w:tabs>
          <w:tab w:val="left" w:pos="426"/>
        </w:tabs>
        <w:spacing w:line="288" w:lineRule="auto"/>
        <w:ind w:left="426"/>
        <w:jc w:val="both"/>
        <w:rPr>
          <w:rFonts w:cs="Arial"/>
          <w:color w:val="000000" w:themeColor="text1"/>
          <w:szCs w:val="24"/>
        </w:rPr>
      </w:pPr>
    </w:p>
    <w:p w14:paraId="7F9FEEA2" w14:textId="6538AA82" w:rsidR="001365AD" w:rsidRPr="00DC7AA8" w:rsidRDefault="001365AD" w:rsidP="001365AD">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The Appellant, on the other hand, complains about the manner in which the Second Inspection was carried out by Mr James</w:t>
      </w:r>
      <w:r w:rsidR="00380F55" w:rsidRPr="00DC7AA8">
        <w:rPr>
          <w:rFonts w:cs="Arial"/>
          <w:color w:val="000000" w:themeColor="text1"/>
          <w:szCs w:val="24"/>
        </w:rPr>
        <w:t xml:space="preserve"> (which, in effect, it regards as being indicative of a rude, biased, pre-judged, or otherwise unreasonable  or unfair approach), and more generally submits that the Restriction is not necessary as the relevant issues are over-stated by the Respondent and/or could be managed </w:t>
      </w:r>
      <w:r w:rsidR="002F21FB" w:rsidRPr="00DC7AA8">
        <w:rPr>
          <w:rFonts w:cs="Arial"/>
          <w:color w:val="000000" w:themeColor="text1"/>
          <w:szCs w:val="24"/>
        </w:rPr>
        <w:t xml:space="preserve">adequately </w:t>
      </w:r>
      <w:r w:rsidR="00380F55" w:rsidRPr="00DC7AA8">
        <w:rPr>
          <w:rFonts w:cs="Arial"/>
          <w:color w:val="000000" w:themeColor="text1"/>
          <w:szCs w:val="24"/>
        </w:rPr>
        <w:t>by a less-restrictive measure (i.e. by advice or guidance or similar).</w:t>
      </w:r>
    </w:p>
    <w:p w14:paraId="0F9BD85A" w14:textId="77777777" w:rsidR="00760E21" w:rsidRPr="00DC7AA8" w:rsidRDefault="00760E21" w:rsidP="009830C3">
      <w:pPr>
        <w:tabs>
          <w:tab w:val="left" w:pos="426"/>
        </w:tabs>
        <w:spacing w:line="288" w:lineRule="auto"/>
        <w:jc w:val="both"/>
        <w:rPr>
          <w:rFonts w:cs="Arial"/>
          <w:color w:val="000000" w:themeColor="text1"/>
          <w:sz w:val="24"/>
        </w:rPr>
      </w:pPr>
    </w:p>
    <w:p w14:paraId="5251BA18" w14:textId="09684CE6" w:rsidR="007275FA" w:rsidRPr="00DC7AA8" w:rsidRDefault="0090667C" w:rsidP="005E43B8">
      <w:pPr>
        <w:spacing w:line="288" w:lineRule="auto"/>
        <w:jc w:val="both"/>
        <w:rPr>
          <w:rFonts w:cs="Arial"/>
          <w:b/>
          <w:color w:val="000000" w:themeColor="text1"/>
          <w:sz w:val="24"/>
          <w:u w:val="single"/>
        </w:rPr>
      </w:pPr>
      <w:r w:rsidRPr="00DC7AA8">
        <w:rPr>
          <w:rFonts w:cs="Arial"/>
          <w:b/>
          <w:color w:val="000000" w:themeColor="text1"/>
          <w:sz w:val="24"/>
          <w:u w:val="single"/>
        </w:rPr>
        <w:t>C</w:t>
      </w:r>
      <w:r w:rsidR="007275FA" w:rsidRPr="00DC7AA8">
        <w:rPr>
          <w:rFonts w:cs="Arial"/>
          <w:b/>
          <w:color w:val="000000" w:themeColor="text1"/>
          <w:sz w:val="24"/>
          <w:u w:val="single"/>
        </w:rPr>
        <w:t xml:space="preserve">onclusions with </w:t>
      </w:r>
      <w:r w:rsidR="00380F55" w:rsidRPr="00DC7AA8">
        <w:rPr>
          <w:rFonts w:cs="Arial"/>
          <w:b/>
          <w:color w:val="000000" w:themeColor="text1"/>
          <w:sz w:val="24"/>
          <w:u w:val="single"/>
        </w:rPr>
        <w:t>R</w:t>
      </w:r>
      <w:r w:rsidR="007275FA" w:rsidRPr="00DC7AA8">
        <w:rPr>
          <w:rFonts w:cs="Arial"/>
          <w:b/>
          <w:color w:val="000000" w:themeColor="text1"/>
          <w:sz w:val="24"/>
          <w:u w:val="single"/>
        </w:rPr>
        <w:t xml:space="preserve">easons </w:t>
      </w:r>
    </w:p>
    <w:p w14:paraId="18D23C0C" w14:textId="77777777" w:rsidR="00422B89" w:rsidRPr="00DC7AA8" w:rsidRDefault="00422B89" w:rsidP="005E43B8">
      <w:pPr>
        <w:tabs>
          <w:tab w:val="left" w:pos="426"/>
        </w:tabs>
        <w:spacing w:line="288" w:lineRule="auto"/>
        <w:jc w:val="both"/>
        <w:rPr>
          <w:rFonts w:cs="Arial"/>
          <w:color w:val="000000" w:themeColor="text1"/>
          <w:sz w:val="24"/>
        </w:rPr>
      </w:pPr>
    </w:p>
    <w:p w14:paraId="123373D9" w14:textId="6A625602" w:rsidR="00380F55" w:rsidRPr="00DC7AA8" w:rsidRDefault="00380F55" w:rsidP="005E43B8">
      <w:pPr>
        <w:tabs>
          <w:tab w:val="left" w:pos="426"/>
        </w:tabs>
        <w:spacing w:line="288" w:lineRule="auto"/>
        <w:jc w:val="both"/>
        <w:rPr>
          <w:rFonts w:cs="Arial"/>
          <w:b/>
          <w:bCs/>
          <w:i/>
          <w:iCs/>
          <w:color w:val="000000" w:themeColor="text1"/>
          <w:sz w:val="24"/>
        </w:rPr>
      </w:pPr>
      <w:r w:rsidRPr="00DC7AA8">
        <w:rPr>
          <w:rFonts w:cs="Arial"/>
          <w:b/>
          <w:bCs/>
          <w:i/>
          <w:iCs/>
          <w:color w:val="000000" w:themeColor="text1"/>
          <w:sz w:val="24"/>
        </w:rPr>
        <w:t>Summary</w:t>
      </w:r>
    </w:p>
    <w:p w14:paraId="08E916EA" w14:textId="77777777" w:rsidR="00D9136D" w:rsidRDefault="00D9136D" w:rsidP="00D9136D">
      <w:pPr>
        <w:pStyle w:val="ListParagraph"/>
        <w:tabs>
          <w:tab w:val="left" w:pos="426"/>
        </w:tabs>
        <w:spacing w:line="288" w:lineRule="auto"/>
        <w:ind w:left="426"/>
        <w:jc w:val="both"/>
        <w:rPr>
          <w:rFonts w:cs="Arial"/>
          <w:color w:val="000000" w:themeColor="text1"/>
          <w:szCs w:val="24"/>
        </w:rPr>
      </w:pPr>
    </w:p>
    <w:p w14:paraId="106FC8F2" w14:textId="3DE512DC" w:rsidR="00FD4361" w:rsidRPr="00DC7AA8" w:rsidRDefault="00380F55" w:rsidP="00556DF8">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 xml:space="preserve">In our judgment, there would, at present, be a material risk of harm to children if the Restriction was not in place. The relevant threshold relating to risk is met. The Restriction is, at present, objectively justified as proportionate to the risk identified and/or, to put it another way, as a proportionate means of achieving </w:t>
      </w:r>
      <w:r w:rsidR="002F21FB">
        <w:rPr>
          <w:rFonts w:cs="Arial"/>
          <w:color w:val="000000" w:themeColor="text1"/>
          <w:szCs w:val="24"/>
        </w:rPr>
        <w:t xml:space="preserve">a </w:t>
      </w:r>
      <w:r w:rsidRPr="00DC7AA8">
        <w:rPr>
          <w:rFonts w:cs="Arial"/>
          <w:color w:val="000000" w:themeColor="text1"/>
          <w:szCs w:val="24"/>
        </w:rPr>
        <w:t xml:space="preserve">legitimate aim. We consider </w:t>
      </w:r>
      <w:r w:rsidR="002F21FB">
        <w:rPr>
          <w:rFonts w:cs="Arial"/>
          <w:color w:val="000000" w:themeColor="text1"/>
          <w:szCs w:val="24"/>
        </w:rPr>
        <w:t>the Restriction to be</w:t>
      </w:r>
      <w:r w:rsidRPr="00DC7AA8">
        <w:rPr>
          <w:rFonts w:cs="Arial"/>
          <w:color w:val="000000" w:themeColor="text1"/>
          <w:szCs w:val="24"/>
        </w:rPr>
        <w:t xml:space="preserve"> necessary, in other words, at present, to keep children adequately safe.</w:t>
      </w:r>
    </w:p>
    <w:p w14:paraId="6723CF30" w14:textId="77777777" w:rsidR="00FD4361" w:rsidRPr="00DC7AA8" w:rsidRDefault="00FD4361" w:rsidP="00FD4361">
      <w:pPr>
        <w:pStyle w:val="ListParagraph"/>
        <w:tabs>
          <w:tab w:val="left" w:pos="426"/>
        </w:tabs>
        <w:spacing w:line="288" w:lineRule="auto"/>
        <w:ind w:left="426"/>
        <w:jc w:val="both"/>
        <w:rPr>
          <w:rFonts w:cs="Arial"/>
          <w:color w:val="000000" w:themeColor="text1"/>
          <w:szCs w:val="24"/>
        </w:rPr>
      </w:pPr>
    </w:p>
    <w:p w14:paraId="540D66F6" w14:textId="0A76E67E" w:rsidR="00380F55" w:rsidRPr="00DC7AA8" w:rsidRDefault="00380F55" w:rsidP="00556DF8">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lastRenderedPageBreak/>
        <w:t>We set out some further reasoning below.</w:t>
      </w:r>
      <w:r w:rsidR="00FD4361" w:rsidRPr="00DC7AA8">
        <w:rPr>
          <w:rFonts w:cs="Arial"/>
          <w:color w:val="000000" w:themeColor="text1"/>
          <w:szCs w:val="24"/>
        </w:rPr>
        <w:t xml:space="preserve"> What follows is not designed to cover all the matters touched on in the Bundle or the other documents before us. It is, however, designed to be sufficient to clarify the core reasons why we</w:t>
      </w:r>
      <w:r w:rsidR="002F21FB">
        <w:rPr>
          <w:rFonts w:cs="Arial"/>
          <w:color w:val="000000" w:themeColor="text1"/>
          <w:szCs w:val="24"/>
        </w:rPr>
        <w:t xml:space="preserve"> reached our decision</w:t>
      </w:r>
      <w:r w:rsidR="00FD4361" w:rsidRPr="00DC7AA8">
        <w:rPr>
          <w:rFonts w:cs="Arial"/>
          <w:color w:val="000000" w:themeColor="text1"/>
          <w:szCs w:val="24"/>
        </w:rPr>
        <w:t>.</w:t>
      </w:r>
    </w:p>
    <w:p w14:paraId="505DCFF8" w14:textId="77777777" w:rsidR="00FD4361" w:rsidRPr="00DC7AA8" w:rsidRDefault="00FD4361" w:rsidP="005E43B8">
      <w:pPr>
        <w:tabs>
          <w:tab w:val="left" w:pos="426"/>
        </w:tabs>
        <w:spacing w:line="288" w:lineRule="auto"/>
        <w:jc w:val="both"/>
        <w:rPr>
          <w:rFonts w:cs="Arial"/>
          <w:b/>
          <w:bCs/>
          <w:i/>
          <w:iCs/>
          <w:color w:val="000000" w:themeColor="text1"/>
          <w:sz w:val="24"/>
        </w:rPr>
      </w:pPr>
    </w:p>
    <w:p w14:paraId="469911C9" w14:textId="18ADDECC" w:rsidR="00917BA8" w:rsidRPr="00DC7AA8" w:rsidRDefault="00F04C43" w:rsidP="005E43B8">
      <w:pPr>
        <w:tabs>
          <w:tab w:val="left" w:pos="426"/>
        </w:tabs>
        <w:spacing w:line="288" w:lineRule="auto"/>
        <w:jc w:val="both"/>
        <w:rPr>
          <w:rFonts w:cs="Arial"/>
          <w:b/>
          <w:bCs/>
          <w:i/>
          <w:iCs/>
          <w:color w:val="000000" w:themeColor="text1"/>
          <w:sz w:val="24"/>
        </w:rPr>
      </w:pPr>
      <w:r w:rsidRPr="00DC7AA8">
        <w:rPr>
          <w:rFonts w:cs="Arial"/>
          <w:b/>
          <w:bCs/>
          <w:i/>
          <w:iCs/>
          <w:color w:val="000000" w:themeColor="text1"/>
          <w:sz w:val="24"/>
        </w:rPr>
        <w:t>Risk</w:t>
      </w:r>
    </w:p>
    <w:p w14:paraId="0E03F10B" w14:textId="476CF65B" w:rsidR="00380F55" w:rsidRDefault="00380F55" w:rsidP="00380F55">
      <w:pPr>
        <w:tabs>
          <w:tab w:val="left" w:pos="426"/>
        </w:tabs>
        <w:spacing w:line="288" w:lineRule="auto"/>
        <w:jc w:val="both"/>
        <w:rPr>
          <w:rFonts w:cs="Arial"/>
          <w:color w:val="000000" w:themeColor="text1"/>
          <w:sz w:val="24"/>
        </w:rPr>
      </w:pPr>
    </w:p>
    <w:p w14:paraId="34B639C8" w14:textId="1F7804A4" w:rsidR="002F21FB" w:rsidRPr="002F21FB" w:rsidRDefault="002F21FB" w:rsidP="00380F55">
      <w:pPr>
        <w:tabs>
          <w:tab w:val="left" w:pos="426"/>
        </w:tabs>
        <w:spacing w:line="288" w:lineRule="auto"/>
        <w:jc w:val="both"/>
        <w:rPr>
          <w:rFonts w:cs="Arial"/>
          <w:i/>
          <w:iCs/>
          <w:color w:val="000000" w:themeColor="text1"/>
          <w:sz w:val="24"/>
        </w:rPr>
      </w:pPr>
      <w:r w:rsidRPr="002F21FB">
        <w:rPr>
          <w:rFonts w:cs="Arial"/>
          <w:i/>
          <w:iCs/>
          <w:color w:val="000000" w:themeColor="text1"/>
          <w:sz w:val="24"/>
        </w:rPr>
        <w:t>Summary</w:t>
      </w:r>
    </w:p>
    <w:p w14:paraId="4E77E10E" w14:textId="77777777" w:rsidR="002F21FB" w:rsidRPr="00DC7AA8" w:rsidRDefault="002F21FB" w:rsidP="00380F55">
      <w:pPr>
        <w:tabs>
          <w:tab w:val="left" w:pos="426"/>
        </w:tabs>
        <w:spacing w:line="288" w:lineRule="auto"/>
        <w:jc w:val="both"/>
        <w:rPr>
          <w:rFonts w:cs="Arial"/>
          <w:color w:val="000000" w:themeColor="text1"/>
          <w:sz w:val="24"/>
        </w:rPr>
      </w:pPr>
    </w:p>
    <w:p w14:paraId="4BD97CF7" w14:textId="393E28B5" w:rsidR="003B3144" w:rsidRPr="002F21FB" w:rsidRDefault="00F13186" w:rsidP="002F21FB">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 xml:space="preserve">Bearing in mind the principles set out further above, and without going as far as to find facts, </w:t>
      </w:r>
      <w:r w:rsidR="00A4287F" w:rsidRPr="00DC7AA8">
        <w:rPr>
          <w:rFonts w:cs="Arial"/>
          <w:color w:val="000000" w:themeColor="text1"/>
          <w:szCs w:val="24"/>
        </w:rPr>
        <w:t>we</w:t>
      </w:r>
      <w:r w:rsidRPr="00DC7AA8">
        <w:rPr>
          <w:rFonts w:cs="Arial"/>
          <w:color w:val="000000" w:themeColor="text1"/>
          <w:szCs w:val="24"/>
        </w:rPr>
        <w:t xml:space="preserve"> reached the following views</w:t>
      </w:r>
      <w:r w:rsidR="00A4287F" w:rsidRPr="00DC7AA8">
        <w:rPr>
          <w:rFonts w:cs="Arial"/>
          <w:color w:val="000000" w:themeColor="text1"/>
          <w:szCs w:val="24"/>
        </w:rPr>
        <w:t xml:space="preserve"> on the limited evidence before us.</w:t>
      </w:r>
      <w:r w:rsidR="002F21FB">
        <w:rPr>
          <w:rFonts w:cs="Arial"/>
          <w:color w:val="000000" w:themeColor="text1"/>
          <w:szCs w:val="24"/>
        </w:rPr>
        <w:t xml:space="preserve"> </w:t>
      </w:r>
      <w:r w:rsidR="00105765" w:rsidRPr="002F21FB">
        <w:rPr>
          <w:rFonts w:cs="Arial"/>
          <w:color w:val="000000" w:themeColor="text1"/>
        </w:rPr>
        <w:t>S</w:t>
      </w:r>
      <w:r w:rsidR="00A7662B" w:rsidRPr="002F21FB">
        <w:rPr>
          <w:rFonts w:cs="Arial"/>
          <w:color w:val="000000" w:themeColor="text1"/>
        </w:rPr>
        <w:t xml:space="preserve">tepping back and looking at things in the round, </w:t>
      </w:r>
      <w:r w:rsidR="00A4287F" w:rsidRPr="002F21FB">
        <w:rPr>
          <w:rFonts w:cs="Arial"/>
          <w:color w:val="000000" w:themeColor="text1"/>
        </w:rPr>
        <w:t xml:space="preserve">we are </w:t>
      </w:r>
      <w:r w:rsidR="00A7662B" w:rsidRPr="002F21FB">
        <w:rPr>
          <w:rFonts w:cs="Arial"/>
          <w:color w:val="000000" w:themeColor="text1"/>
        </w:rPr>
        <w:t>satisfied that</w:t>
      </w:r>
      <w:r w:rsidR="00B119F4" w:rsidRPr="002F21FB">
        <w:rPr>
          <w:rFonts w:cs="Arial"/>
          <w:color w:val="000000" w:themeColor="text1"/>
        </w:rPr>
        <w:t>,</w:t>
      </w:r>
      <w:r w:rsidR="00A7662B" w:rsidRPr="002F21FB">
        <w:rPr>
          <w:rFonts w:cs="Arial"/>
          <w:color w:val="000000" w:themeColor="text1"/>
        </w:rPr>
        <w:t xml:space="preserve"> as </w:t>
      </w:r>
      <w:r w:rsidR="002F21FB">
        <w:rPr>
          <w:rFonts w:cs="Arial"/>
          <w:color w:val="000000" w:themeColor="text1"/>
        </w:rPr>
        <w:t>of today</w:t>
      </w:r>
      <w:r w:rsidR="00A7662B" w:rsidRPr="002F21FB">
        <w:rPr>
          <w:rFonts w:cs="Arial"/>
          <w:color w:val="000000" w:themeColor="text1"/>
        </w:rPr>
        <w:t>,</w:t>
      </w:r>
      <w:r w:rsidR="003B3144" w:rsidRPr="002F21FB">
        <w:rPr>
          <w:rFonts w:cs="Arial"/>
          <w:color w:val="000000" w:themeColor="text1"/>
        </w:rPr>
        <w:t xml:space="preserve"> there are sufficient reasonable grounds to believe that the provision of </w:t>
      </w:r>
      <w:r w:rsidR="00105765" w:rsidRPr="002F21FB">
        <w:rPr>
          <w:rFonts w:cs="Arial"/>
          <w:color w:val="000000" w:themeColor="text1"/>
        </w:rPr>
        <w:t>service</w:t>
      </w:r>
      <w:r w:rsidR="003B3144" w:rsidRPr="002F21FB">
        <w:rPr>
          <w:rFonts w:cs="Arial"/>
          <w:color w:val="000000" w:themeColor="text1"/>
        </w:rPr>
        <w:t xml:space="preserve"> by the Appellant</w:t>
      </w:r>
      <w:r w:rsidR="002F21FB">
        <w:rPr>
          <w:rFonts w:cs="Arial"/>
          <w:color w:val="000000" w:themeColor="text1"/>
        </w:rPr>
        <w:t xml:space="preserve"> would or</w:t>
      </w:r>
      <w:r w:rsidR="003B3144" w:rsidRPr="002F21FB">
        <w:rPr>
          <w:rFonts w:cs="Arial"/>
          <w:color w:val="000000" w:themeColor="text1"/>
        </w:rPr>
        <w:t xml:space="preserve"> may expose children to a </w:t>
      </w:r>
      <w:r w:rsidR="00105765" w:rsidRPr="002F21FB">
        <w:rPr>
          <w:rFonts w:cs="Arial"/>
          <w:color w:val="000000" w:themeColor="text1"/>
        </w:rPr>
        <w:t xml:space="preserve">material </w:t>
      </w:r>
      <w:r w:rsidR="003B3144" w:rsidRPr="002F21FB">
        <w:rPr>
          <w:rFonts w:cs="Arial"/>
          <w:color w:val="000000" w:themeColor="text1"/>
        </w:rPr>
        <w:t>risk of significant harm.</w:t>
      </w:r>
      <w:r w:rsidR="00C60AEB" w:rsidRPr="002F21FB">
        <w:rPr>
          <w:rFonts w:cs="Arial"/>
          <w:color w:val="000000" w:themeColor="text1"/>
        </w:rPr>
        <w:t xml:space="preserve"> </w:t>
      </w:r>
      <w:r w:rsidR="003B3144" w:rsidRPr="002F21FB">
        <w:rPr>
          <w:rFonts w:cs="Arial"/>
          <w:color w:val="000000" w:themeColor="text1"/>
        </w:rPr>
        <w:t>We rely on the following in support of this view.</w:t>
      </w:r>
    </w:p>
    <w:p w14:paraId="67DEC1DE" w14:textId="77777777" w:rsidR="003B3144" w:rsidRPr="00DC7AA8" w:rsidRDefault="003B3144" w:rsidP="00105765">
      <w:pPr>
        <w:tabs>
          <w:tab w:val="left" w:pos="426"/>
        </w:tabs>
        <w:spacing w:line="288" w:lineRule="auto"/>
        <w:jc w:val="both"/>
        <w:rPr>
          <w:rFonts w:cs="Arial"/>
          <w:color w:val="000000" w:themeColor="text1"/>
          <w:sz w:val="24"/>
        </w:rPr>
      </w:pPr>
    </w:p>
    <w:p w14:paraId="215933BE" w14:textId="033E5307" w:rsidR="00105765" w:rsidRPr="00DC7AA8" w:rsidRDefault="00105765" w:rsidP="00105765">
      <w:pPr>
        <w:tabs>
          <w:tab w:val="left" w:pos="426"/>
        </w:tabs>
        <w:spacing w:line="288" w:lineRule="auto"/>
        <w:jc w:val="both"/>
        <w:rPr>
          <w:rFonts w:cs="Arial"/>
          <w:i/>
          <w:iCs/>
          <w:color w:val="000000" w:themeColor="text1"/>
          <w:sz w:val="24"/>
        </w:rPr>
      </w:pPr>
      <w:r w:rsidRPr="00DC7AA8">
        <w:rPr>
          <w:rFonts w:cs="Arial"/>
          <w:i/>
          <w:iCs/>
          <w:color w:val="000000" w:themeColor="text1"/>
          <w:sz w:val="24"/>
        </w:rPr>
        <w:t>The First Inspection</w:t>
      </w:r>
    </w:p>
    <w:p w14:paraId="62A0968E" w14:textId="77777777" w:rsidR="00105765" w:rsidRPr="00DC7AA8" w:rsidRDefault="00105765" w:rsidP="00105765">
      <w:pPr>
        <w:tabs>
          <w:tab w:val="left" w:pos="426"/>
        </w:tabs>
        <w:spacing w:line="288" w:lineRule="auto"/>
        <w:jc w:val="both"/>
        <w:rPr>
          <w:rFonts w:cs="Arial"/>
          <w:color w:val="000000" w:themeColor="text1"/>
          <w:sz w:val="24"/>
        </w:rPr>
      </w:pPr>
    </w:p>
    <w:p w14:paraId="6BF081A4" w14:textId="77918547" w:rsidR="007A1BC8" w:rsidRPr="00DC7AA8" w:rsidRDefault="00105765" w:rsidP="007A1BC8">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 xml:space="preserve">First, the evidence from the Respondent in relation to the First Inspection, and to concerns identified in the course of that inspection, appears to us to be credible, reliable and persuasive. </w:t>
      </w:r>
    </w:p>
    <w:p w14:paraId="0B151710" w14:textId="77777777" w:rsidR="00005617" w:rsidRPr="00DC7AA8" w:rsidRDefault="00005617" w:rsidP="00005617">
      <w:pPr>
        <w:pStyle w:val="ListParagraph"/>
        <w:tabs>
          <w:tab w:val="left" w:pos="426"/>
        </w:tabs>
        <w:spacing w:line="288" w:lineRule="auto"/>
        <w:ind w:left="426"/>
        <w:jc w:val="both"/>
        <w:rPr>
          <w:rFonts w:cs="Arial"/>
          <w:color w:val="000000" w:themeColor="text1"/>
          <w:szCs w:val="24"/>
        </w:rPr>
      </w:pPr>
    </w:p>
    <w:p w14:paraId="0B8E53E5" w14:textId="59EE7E33" w:rsidR="00005617" w:rsidRPr="00DC7AA8" w:rsidRDefault="00005617" w:rsidP="007A1BC8">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 xml:space="preserve">The Respondent </w:t>
      </w:r>
      <w:r w:rsidR="002F21FB">
        <w:rPr>
          <w:rFonts w:cs="Arial"/>
          <w:color w:val="000000" w:themeColor="text1"/>
          <w:szCs w:val="24"/>
        </w:rPr>
        <w:t>appears</w:t>
      </w:r>
      <w:r w:rsidRPr="00DC7AA8">
        <w:rPr>
          <w:rFonts w:cs="Arial"/>
          <w:color w:val="000000" w:themeColor="text1"/>
          <w:szCs w:val="24"/>
        </w:rPr>
        <w:t xml:space="preserve"> to have carried out a relatively full inspection between 27 and 31 January 2025. It seems likely</w:t>
      </w:r>
      <w:r w:rsidR="002F21FB">
        <w:rPr>
          <w:rFonts w:cs="Arial"/>
          <w:color w:val="000000" w:themeColor="text1"/>
          <w:szCs w:val="24"/>
        </w:rPr>
        <w:t xml:space="preserve"> to have</w:t>
      </w:r>
      <w:r w:rsidRPr="00DC7AA8">
        <w:rPr>
          <w:rFonts w:cs="Arial"/>
          <w:color w:val="000000" w:themeColor="text1"/>
          <w:szCs w:val="24"/>
        </w:rPr>
        <w:t xml:space="preserve"> formed a genuine view, on what appear likely to us to be rational and reasonable grounds, that there were</w:t>
      </w:r>
      <w:r w:rsidR="002F21FB">
        <w:rPr>
          <w:rFonts w:cs="Arial"/>
          <w:color w:val="000000" w:themeColor="text1"/>
          <w:szCs w:val="24"/>
        </w:rPr>
        <w:t xml:space="preserve"> indeed</w:t>
      </w:r>
      <w:r w:rsidRPr="00DC7AA8">
        <w:rPr>
          <w:rFonts w:cs="Arial"/>
          <w:color w:val="000000" w:themeColor="text1"/>
          <w:szCs w:val="24"/>
        </w:rPr>
        <w:t xml:space="preserve"> some serious and relatively widespread issues in the service.</w:t>
      </w:r>
      <w:r w:rsidR="00C14667" w:rsidRPr="00DC7AA8">
        <w:rPr>
          <w:rFonts w:cs="Arial"/>
          <w:color w:val="000000" w:themeColor="text1"/>
          <w:szCs w:val="24"/>
        </w:rPr>
        <w:t xml:space="preserve"> The Respondent made it clear </w:t>
      </w:r>
      <w:r w:rsidR="002F21FB">
        <w:rPr>
          <w:rFonts w:cs="Arial"/>
          <w:color w:val="000000" w:themeColor="text1"/>
          <w:szCs w:val="24"/>
        </w:rPr>
        <w:t xml:space="preserve">that </w:t>
      </w:r>
      <w:r w:rsidR="00C14667" w:rsidRPr="00DC7AA8">
        <w:rPr>
          <w:rFonts w:cs="Arial"/>
          <w:color w:val="000000" w:themeColor="text1"/>
          <w:szCs w:val="24"/>
        </w:rPr>
        <w:t xml:space="preserve">urgent action was required to address </w:t>
      </w:r>
      <w:r w:rsidR="002F21FB">
        <w:rPr>
          <w:rFonts w:cs="Arial"/>
          <w:color w:val="000000" w:themeColor="text1"/>
          <w:szCs w:val="24"/>
        </w:rPr>
        <w:t xml:space="preserve">such </w:t>
      </w:r>
      <w:r w:rsidR="00AC751A">
        <w:rPr>
          <w:rFonts w:cs="Arial"/>
          <w:color w:val="000000" w:themeColor="text1"/>
          <w:szCs w:val="24"/>
        </w:rPr>
        <w:t>matters</w:t>
      </w:r>
      <w:r w:rsidR="00C14667" w:rsidRPr="00DC7AA8">
        <w:rPr>
          <w:rFonts w:cs="Arial"/>
          <w:color w:val="000000" w:themeColor="text1"/>
          <w:szCs w:val="24"/>
        </w:rPr>
        <w:t xml:space="preserve"> and that a further inspection </w:t>
      </w:r>
      <w:r w:rsidR="00AC751A">
        <w:rPr>
          <w:rFonts w:cs="Arial"/>
          <w:color w:val="000000" w:themeColor="text1"/>
          <w:szCs w:val="24"/>
        </w:rPr>
        <w:t xml:space="preserve">would take place </w:t>
      </w:r>
      <w:r w:rsidR="00C14667" w:rsidRPr="00DC7AA8">
        <w:rPr>
          <w:rFonts w:cs="Arial"/>
          <w:color w:val="000000" w:themeColor="text1"/>
          <w:szCs w:val="24"/>
        </w:rPr>
        <w:t xml:space="preserve">within </w:t>
      </w:r>
      <w:r w:rsidR="00AC751A">
        <w:rPr>
          <w:rFonts w:cs="Arial"/>
          <w:color w:val="000000" w:themeColor="text1"/>
          <w:szCs w:val="24"/>
        </w:rPr>
        <w:t>six</w:t>
      </w:r>
      <w:r w:rsidR="00C14667" w:rsidRPr="00DC7AA8">
        <w:rPr>
          <w:rFonts w:cs="Arial"/>
          <w:color w:val="000000" w:themeColor="text1"/>
          <w:szCs w:val="24"/>
        </w:rPr>
        <w:t xml:space="preserve"> months or s</w:t>
      </w:r>
      <w:r w:rsidR="00AC751A">
        <w:rPr>
          <w:rFonts w:cs="Arial"/>
          <w:color w:val="000000" w:themeColor="text1"/>
          <w:szCs w:val="24"/>
        </w:rPr>
        <w:t>o</w:t>
      </w:r>
      <w:r w:rsidR="00C14667" w:rsidRPr="00DC7AA8">
        <w:rPr>
          <w:rFonts w:cs="Arial"/>
          <w:color w:val="000000" w:themeColor="text1"/>
          <w:szCs w:val="24"/>
        </w:rPr>
        <w:t>.</w:t>
      </w:r>
    </w:p>
    <w:p w14:paraId="7FBEE7DD" w14:textId="77777777" w:rsidR="00005617" w:rsidRPr="00DC7AA8" w:rsidRDefault="00005617" w:rsidP="00005617">
      <w:pPr>
        <w:pStyle w:val="ListParagraph"/>
        <w:tabs>
          <w:tab w:val="left" w:pos="426"/>
        </w:tabs>
        <w:spacing w:line="288" w:lineRule="auto"/>
        <w:ind w:left="426"/>
        <w:jc w:val="both"/>
        <w:rPr>
          <w:rFonts w:cs="Arial"/>
          <w:color w:val="000000" w:themeColor="text1"/>
          <w:szCs w:val="24"/>
        </w:rPr>
      </w:pPr>
    </w:p>
    <w:p w14:paraId="56E7EE18" w14:textId="2C9C6372" w:rsidR="00005617" w:rsidRPr="00DC7AA8" w:rsidRDefault="00005617" w:rsidP="00005617">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 xml:space="preserve">For example, there is </w:t>
      </w:r>
      <w:r w:rsidR="00C14667" w:rsidRPr="00DC7AA8">
        <w:rPr>
          <w:rFonts w:cs="Arial"/>
          <w:color w:val="000000" w:themeColor="text1"/>
          <w:szCs w:val="24"/>
        </w:rPr>
        <w:t xml:space="preserve">direct </w:t>
      </w:r>
      <w:r w:rsidRPr="00DC7AA8">
        <w:rPr>
          <w:rFonts w:cs="Arial"/>
          <w:color w:val="000000" w:themeColor="text1"/>
          <w:szCs w:val="24"/>
        </w:rPr>
        <w:t>evidence – from Mr James’s statement in particular – which tends, in our view, to suggest the following:</w:t>
      </w:r>
    </w:p>
    <w:p w14:paraId="01BD798B" w14:textId="77777777" w:rsidR="00005617" w:rsidRPr="00DC7AA8" w:rsidRDefault="00005617" w:rsidP="00005617">
      <w:pPr>
        <w:pStyle w:val="ListParagraph"/>
        <w:tabs>
          <w:tab w:val="left" w:pos="851"/>
        </w:tabs>
        <w:spacing w:line="288" w:lineRule="auto"/>
        <w:ind w:left="851"/>
        <w:jc w:val="both"/>
        <w:rPr>
          <w:rFonts w:cs="Arial"/>
          <w:color w:val="000000" w:themeColor="text1"/>
          <w:szCs w:val="24"/>
        </w:rPr>
      </w:pPr>
    </w:p>
    <w:p w14:paraId="3A565474" w14:textId="24C2FE2D" w:rsidR="00005617" w:rsidRPr="00DC7AA8" w:rsidRDefault="00005617" w:rsidP="00005617">
      <w:pPr>
        <w:pStyle w:val="ListParagraph"/>
        <w:numPr>
          <w:ilvl w:val="0"/>
          <w:numId w:val="22"/>
        </w:numPr>
        <w:tabs>
          <w:tab w:val="left" w:pos="851"/>
        </w:tabs>
        <w:spacing w:line="288" w:lineRule="auto"/>
        <w:ind w:left="851" w:hanging="425"/>
        <w:jc w:val="both"/>
        <w:rPr>
          <w:rFonts w:cs="Arial"/>
          <w:color w:val="000000" w:themeColor="text1"/>
          <w:szCs w:val="24"/>
        </w:rPr>
      </w:pPr>
      <w:r w:rsidRPr="00DC7AA8">
        <w:rPr>
          <w:rFonts w:cs="Arial"/>
          <w:color w:val="000000" w:themeColor="text1"/>
          <w:szCs w:val="24"/>
        </w:rPr>
        <w:t>One child had been admitted despite the referral form indicating</w:t>
      </w:r>
      <w:r w:rsidR="00AC751A">
        <w:rPr>
          <w:rFonts w:cs="Arial"/>
          <w:color w:val="000000" w:themeColor="text1"/>
          <w:szCs w:val="24"/>
        </w:rPr>
        <w:t xml:space="preserve"> that he or she</w:t>
      </w:r>
      <w:r w:rsidRPr="00DC7AA8">
        <w:rPr>
          <w:rFonts w:cs="Arial"/>
          <w:color w:val="000000" w:themeColor="text1"/>
          <w:szCs w:val="24"/>
        </w:rPr>
        <w:t xml:space="preserve"> had overly complex needs relating to substance misuse, violence, self-harm, risk of criminal exploitation</w:t>
      </w:r>
      <w:r w:rsidR="00AC751A">
        <w:rPr>
          <w:rFonts w:cs="Arial"/>
          <w:color w:val="000000" w:themeColor="text1"/>
          <w:szCs w:val="24"/>
        </w:rPr>
        <w:t>, and</w:t>
      </w:r>
      <w:r w:rsidRPr="00DC7AA8">
        <w:rPr>
          <w:rFonts w:cs="Arial"/>
          <w:color w:val="000000" w:themeColor="text1"/>
          <w:szCs w:val="24"/>
        </w:rPr>
        <w:t xml:space="preserve"> robberies including weapons. This </w:t>
      </w:r>
      <w:r w:rsidR="00AC751A">
        <w:rPr>
          <w:rFonts w:cs="Arial"/>
          <w:color w:val="000000" w:themeColor="text1"/>
          <w:szCs w:val="24"/>
        </w:rPr>
        <w:t xml:space="preserve">tends to </w:t>
      </w:r>
      <w:r w:rsidRPr="00DC7AA8">
        <w:rPr>
          <w:rFonts w:cs="Arial"/>
          <w:color w:val="000000" w:themeColor="text1"/>
          <w:szCs w:val="24"/>
        </w:rPr>
        <w:t>indicate that the child’s needs may well have been</w:t>
      </w:r>
      <w:r w:rsidR="00AC751A">
        <w:rPr>
          <w:rFonts w:cs="Arial"/>
          <w:color w:val="000000" w:themeColor="text1"/>
          <w:szCs w:val="24"/>
        </w:rPr>
        <w:t xml:space="preserve"> too high or too complex or otherwise </w:t>
      </w:r>
      <w:r w:rsidRPr="00DC7AA8">
        <w:rPr>
          <w:rFonts w:cs="Arial"/>
          <w:color w:val="000000" w:themeColor="text1"/>
          <w:szCs w:val="24"/>
        </w:rPr>
        <w:t>inappropriate for supported accommodation of a type provided by the Appellant.</w:t>
      </w:r>
    </w:p>
    <w:p w14:paraId="70194B9D" w14:textId="77777777" w:rsidR="00005617" w:rsidRPr="00DC7AA8" w:rsidRDefault="00005617" w:rsidP="00005617">
      <w:pPr>
        <w:pStyle w:val="ListParagraph"/>
        <w:tabs>
          <w:tab w:val="left" w:pos="851"/>
        </w:tabs>
        <w:spacing w:line="288" w:lineRule="auto"/>
        <w:ind w:left="851"/>
        <w:jc w:val="both"/>
        <w:rPr>
          <w:rFonts w:cs="Arial"/>
          <w:color w:val="000000" w:themeColor="text1"/>
          <w:szCs w:val="24"/>
        </w:rPr>
      </w:pPr>
    </w:p>
    <w:p w14:paraId="46745DCB" w14:textId="578E6E41" w:rsidR="00005617" w:rsidRPr="00DC7AA8" w:rsidRDefault="00005617" w:rsidP="00005617">
      <w:pPr>
        <w:pStyle w:val="ListParagraph"/>
        <w:numPr>
          <w:ilvl w:val="0"/>
          <w:numId w:val="22"/>
        </w:numPr>
        <w:tabs>
          <w:tab w:val="left" w:pos="851"/>
        </w:tabs>
        <w:spacing w:line="288" w:lineRule="auto"/>
        <w:ind w:left="851" w:hanging="425"/>
        <w:jc w:val="both"/>
        <w:rPr>
          <w:rFonts w:cs="Arial"/>
          <w:color w:val="000000" w:themeColor="text1"/>
          <w:szCs w:val="24"/>
        </w:rPr>
      </w:pPr>
      <w:r w:rsidRPr="00DC7AA8">
        <w:rPr>
          <w:rFonts w:cs="Arial"/>
          <w:color w:val="000000" w:themeColor="text1"/>
          <w:szCs w:val="24"/>
        </w:rPr>
        <w:t xml:space="preserve">The Appellant may well have exposed </w:t>
      </w:r>
      <w:r w:rsidR="00AC751A">
        <w:rPr>
          <w:rFonts w:cs="Arial"/>
          <w:color w:val="000000" w:themeColor="text1"/>
          <w:szCs w:val="24"/>
        </w:rPr>
        <w:t>one or more</w:t>
      </w:r>
      <w:r w:rsidRPr="00DC7AA8">
        <w:rPr>
          <w:rFonts w:cs="Arial"/>
          <w:color w:val="000000" w:themeColor="text1"/>
          <w:szCs w:val="24"/>
        </w:rPr>
        <w:t xml:space="preserve"> child</w:t>
      </w:r>
      <w:r w:rsidR="00AC751A">
        <w:rPr>
          <w:rFonts w:cs="Arial"/>
          <w:color w:val="000000" w:themeColor="text1"/>
          <w:szCs w:val="24"/>
        </w:rPr>
        <w:t>ren</w:t>
      </w:r>
      <w:r w:rsidRPr="00DC7AA8">
        <w:rPr>
          <w:rFonts w:cs="Arial"/>
          <w:color w:val="000000" w:themeColor="text1"/>
          <w:szCs w:val="24"/>
        </w:rPr>
        <w:t>, unnecessarily, to a risk of harm when a</w:t>
      </w:r>
      <w:r w:rsidR="00AC751A">
        <w:rPr>
          <w:rFonts w:cs="Arial"/>
          <w:color w:val="000000" w:themeColor="text1"/>
          <w:szCs w:val="24"/>
        </w:rPr>
        <w:t>nother</w:t>
      </w:r>
      <w:r w:rsidRPr="00DC7AA8">
        <w:rPr>
          <w:rFonts w:cs="Arial"/>
          <w:color w:val="000000" w:themeColor="text1"/>
          <w:szCs w:val="24"/>
        </w:rPr>
        <w:t xml:space="preserve"> child was moved into a shared home with complex needs where </w:t>
      </w:r>
      <w:r w:rsidR="00AC751A">
        <w:rPr>
          <w:rFonts w:cs="Arial"/>
          <w:color w:val="000000" w:themeColor="text1"/>
          <w:szCs w:val="24"/>
        </w:rPr>
        <w:t>that child</w:t>
      </w:r>
      <w:r w:rsidRPr="00DC7AA8">
        <w:rPr>
          <w:rFonts w:cs="Arial"/>
          <w:color w:val="000000" w:themeColor="text1"/>
          <w:szCs w:val="24"/>
        </w:rPr>
        <w:t xml:space="preserve"> caused considerable damage to communal areas, </w:t>
      </w:r>
      <w:r w:rsidRPr="00DC7AA8">
        <w:rPr>
          <w:rFonts w:cs="Arial"/>
          <w:color w:val="000000" w:themeColor="text1"/>
          <w:szCs w:val="24"/>
        </w:rPr>
        <w:lastRenderedPageBreak/>
        <w:t>threatened staff, and w</w:t>
      </w:r>
      <w:r w:rsidR="00AC751A">
        <w:rPr>
          <w:rFonts w:cs="Arial"/>
          <w:color w:val="000000" w:themeColor="text1"/>
          <w:szCs w:val="24"/>
        </w:rPr>
        <w:t>as</w:t>
      </w:r>
      <w:r w:rsidRPr="00DC7AA8">
        <w:rPr>
          <w:rFonts w:cs="Arial"/>
          <w:color w:val="000000" w:themeColor="text1"/>
          <w:szCs w:val="24"/>
        </w:rPr>
        <w:t xml:space="preserve"> verbally aggressive. As a result, </w:t>
      </w:r>
      <w:r w:rsidR="00746F71" w:rsidRPr="00DC7AA8">
        <w:rPr>
          <w:rFonts w:cs="Arial"/>
          <w:color w:val="000000" w:themeColor="text1"/>
          <w:szCs w:val="24"/>
        </w:rPr>
        <w:t>it would appear, the child</w:t>
      </w:r>
      <w:r w:rsidRPr="00DC7AA8">
        <w:rPr>
          <w:rFonts w:cs="Arial"/>
          <w:color w:val="000000" w:themeColor="text1"/>
          <w:szCs w:val="24"/>
        </w:rPr>
        <w:t xml:space="preserve"> had to be moved to another placement.</w:t>
      </w:r>
    </w:p>
    <w:p w14:paraId="2C25DDAD" w14:textId="77777777" w:rsidR="00746F71" w:rsidRPr="00DC7AA8" w:rsidRDefault="00746F71" w:rsidP="00746F71">
      <w:pPr>
        <w:pStyle w:val="ListParagraph"/>
        <w:tabs>
          <w:tab w:val="left" w:pos="851"/>
        </w:tabs>
        <w:spacing w:line="288" w:lineRule="auto"/>
        <w:ind w:left="851"/>
        <w:jc w:val="both"/>
        <w:rPr>
          <w:rFonts w:cs="Arial"/>
          <w:color w:val="000000" w:themeColor="text1"/>
          <w:szCs w:val="24"/>
        </w:rPr>
      </w:pPr>
    </w:p>
    <w:p w14:paraId="45B1935D" w14:textId="618D4B84" w:rsidR="00746F71" w:rsidRPr="00DC7AA8" w:rsidRDefault="00746F71" w:rsidP="00005617">
      <w:pPr>
        <w:pStyle w:val="ListParagraph"/>
        <w:numPr>
          <w:ilvl w:val="0"/>
          <w:numId w:val="22"/>
        </w:numPr>
        <w:tabs>
          <w:tab w:val="left" w:pos="851"/>
        </w:tabs>
        <w:spacing w:line="288" w:lineRule="auto"/>
        <w:ind w:left="851" w:hanging="425"/>
        <w:jc w:val="both"/>
        <w:rPr>
          <w:rFonts w:cs="Arial"/>
          <w:color w:val="000000" w:themeColor="text1"/>
          <w:szCs w:val="24"/>
        </w:rPr>
      </w:pPr>
      <w:r w:rsidRPr="00DC7AA8">
        <w:rPr>
          <w:rFonts w:cs="Arial"/>
          <w:color w:val="000000" w:themeColor="text1"/>
          <w:szCs w:val="24"/>
        </w:rPr>
        <w:t xml:space="preserve">The referral form for another child indicated that </w:t>
      </w:r>
      <w:r w:rsidR="00AC751A">
        <w:rPr>
          <w:rFonts w:cs="Arial"/>
          <w:color w:val="000000" w:themeColor="text1"/>
          <w:szCs w:val="24"/>
        </w:rPr>
        <w:t>he or she</w:t>
      </w:r>
      <w:r w:rsidRPr="00DC7AA8">
        <w:rPr>
          <w:rFonts w:cs="Arial"/>
          <w:color w:val="000000" w:themeColor="text1"/>
          <w:szCs w:val="24"/>
        </w:rPr>
        <w:t xml:space="preserve"> had risks relating to online safety, having previously arranged to meet a stranger </w:t>
      </w:r>
      <w:r w:rsidR="00AC751A">
        <w:rPr>
          <w:rFonts w:cs="Arial"/>
          <w:color w:val="000000" w:themeColor="text1"/>
          <w:szCs w:val="24"/>
        </w:rPr>
        <w:t>to</w:t>
      </w:r>
      <w:r w:rsidRPr="00DC7AA8">
        <w:rPr>
          <w:rFonts w:cs="Arial"/>
          <w:color w:val="000000" w:themeColor="text1"/>
          <w:szCs w:val="24"/>
        </w:rPr>
        <w:t xml:space="preserve"> have sex, but, despite that, information was not added to the risk assessment or support plan in the way it ought to have been when that child was </w:t>
      </w:r>
      <w:r w:rsidR="00AC751A">
        <w:rPr>
          <w:rFonts w:cs="Arial"/>
          <w:color w:val="000000" w:themeColor="text1"/>
          <w:szCs w:val="24"/>
        </w:rPr>
        <w:t xml:space="preserve">later </w:t>
      </w:r>
      <w:r w:rsidRPr="00DC7AA8">
        <w:rPr>
          <w:rFonts w:cs="Arial"/>
          <w:color w:val="000000" w:themeColor="text1"/>
          <w:szCs w:val="24"/>
        </w:rPr>
        <w:t xml:space="preserve">known or suspected to have been </w:t>
      </w:r>
      <w:r w:rsidR="00AC751A">
        <w:rPr>
          <w:rFonts w:cs="Arial"/>
          <w:color w:val="000000" w:themeColor="text1"/>
          <w:szCs w:val="24"/>
        </w:rPr>
        <w:t>contacting</w:t>
      </w:r>
      <w:r w:rsidRPr="00DC7AA8">
        <w:rPr>
          <w:rFonts w:cs="Arial"/>
          <w:color w:val="000000" w:themeColor="text1"/>
          <w:szCs w:val="24"/>
        </w:rPr>
        <w:t xml:space="preserve"> someone online who </w:t>
      </w:r>
      <w:r w:rsidR="00AC751A">
        <w:rPr>
          <w:rFonts w:cs="Arial"/>
          <w:color w:val="000000" w:themeColor="text1"/>
          <w:szCs w:val="24"/>
        </w:rPr>
        <w:t xml:space="preserve">she or </w:t>
      </w:r>
      <w:r w:rsidRPr="00DC7AA8">
        <w:rPr>
          <w:rFonts w:cs="Arial"/>
          <w:color w:val="000000" w:themeColor="text1"/>
          <w:szCs w:val="24"/>
        </w:rPr>
        <w:t xml:space="preserve">he did not know and </w:t>
      </w:r>
      <w:r w:rsidR="00F912EF">
        <w:rPr>
          <w:rFonts w:cs="Arial"/>
          <w:color w:val="000000" w:themeColor="text1"/>
          <w:szCs w:val="24"/>
        </w:rPr>
        <w:t xml:space="preserve">had </w:t>
      </w:r>
      <w:r w:rsidR="00AC751A">
        <w:rPr>
          <w:rFonts w:cs="Arial"/>
          <w:color w:val="000000" w:themeColor="text1"/>
          <w:szCs w:val="24"/>
        </w:rPr>
        <w:t>a</w:t>
      </w:r>
      <w:r w:rsidRPr="00DC7AA8">
        <w:rPr>
          <w:rFonts w:cs="Arial"/>
          <w:color w:val="000000" w:themeColor="text1"/>
          <w:szCs w:val="24"/>
        </w:rPr>
        <w:t>rranged to meet.</w:t>
      </w:r>
    </w:p>
    <w:p w14:paraId="37A4F453" w14:textId="77777777" w:rsidR="00DD78EF" w:rsidRPr="00DC7AA8" w:rsidRDefault="00DD78EF" w:rsidP="00DD78EF">
      <w:pPr>
        <w:pStyle w:val="ListParagraph"/>
        <w:tabs>
          <w:tab w:val="left" w:pos="426"/>
        </w:tabs>
        <w:spacing w:line="288" w:lineRule="auto"/>
        <w:ind w:left="426"/>
        <w:jc w:val="both"/>
        <w:rPr>
          <w:rFonts w:cs="Arial"/>
          <w:color w:val="000000" w:themeColor="text1"/>
          <w:szCs w:val="24"/>
        </w:rPr>
      </w:pPr>
    </w:p>
    <w:p w14:paraId="59B83FB4" w14:textId="7BA19C65" w:rsidR="00C14667" w:rsidRPr="00DC7AA8" w:rsidRDefault="00C14667" w:rsidP="0083485B">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Other issues identified includ</w:t>
      </w:r>
      <w:r w:rsidR="00AC751A">
        <w:rPr>
          <w:rFonts w:cs="Arial"/>
          <w:color w:val="000000" w:themeColor="text1"/>
          <w:szCs w:val="24"/>
        </w:rPr>
        <w:t>ed</w:t>
      </w:r>
      <w:r w:rsidRPr="00DC7AA8">
        <w:rPr>
          <w:rFonts w:cs="Arial"/>
          <w:color w:val="000000" w:themeColor="text1"/>
          <w:szCs w:val="24"/>
        </w:rPr>
        <w:t>, for example</w:t>
      </w:r>
      <w:r w:rsidR="00AC751A">
        <w:rPr>
          <w:rFonts w:cs="Arial"/>
          <w:color w:val="000000" w:themeColor="text1"/>
          <w:szCs w:val="24"/>
        </w:rPr>
        <w:t>, that</w:t>
      </w:r>
      <w:r w:rsidRPr="00DC7AA8">
        <w:rPr>
          <w:rFonts w:cs="Arial"/>
          <w:color w:val="000000" w:themeColor="text1"/>
          <w:szCs w:val="24"/>
        </w:rPr>
        <w:t xml:space="preserve"> safeguarding</w:t>
      </w:r>
      <w:r w:rsidR="00AC751A">
        <w:rPr>
          <w:rFonts w:cs="Arial"/>
          <w:color w:val="000000" w:themeColor="text1"/>
          <w:szCs w:val="24"/>
        </w:rPr>
        <w:t xml:space="preserve"> or </w:t>
      </w:r>
      <w:r w:rsidRPr="00DC7AA8">
        <w:rPr>
          <w:rFonts w:cs="Arial"/>
          <w:color w:val="000000" w:themeColor="text1"/>
          <w:szCs w:val="24"/>
        </w:rPr>
        <w:t xml:space="preserve">child protection information was not always shared with relevant </w:t>
      </w:r>
      <w:r w:rsidR="006D2C9F" w:rsidRPr="00DC7AA8">
        <w:rPr>
          <w:rFonts w:cs="Arial"/>
          <w:color w:val="000000" w:themeColor="text1"/>
          <w:szCs w:val="24"/>
        </w:rPr>
        <w:t xml:space="preserve">professionals, </w:t>
      </w:r>
      <w:r w:rsidRPr="00DC7AA8">
        <w:rPr>
          <w:rFonts w:cs="Arial"/>
          <w:color w:val="000000" w:themeColor="text1"/>
          <w:szCs w:val="24"/>
        </w:rPr>
        <w:t>partners</w:t>
      </w:r>
      <w:r w:rsidR="006D2C9F" w:rsidRPr="00DC7AA8">
        <w:rPr>
          <w:rFonts w:cs="Arial"/>
          <w:color w:val="000000" w:themeColor="text1"/>
          <w:szCs w:val="24"/>
        </w:rPr>
        <w:t xml:space="preserve"> or </w:t>
      </w:r>
      <w:r w:rsidRPr="00DC7AA8">
        <w:rPr>
          <w:rFonts w:cs="Arial"/>
          <w:color w:val="000000" w:themeColor="text1"/>
          <w:szCs w:val="24"/>
        </w:rPr>
        <w:t>agencies</w:t>
      </w:r>
      <w:r w:rsidR="006D2C9F" w:rsidRPr="00DC7AA8">
        <w:rPr>
          <w:rFonts w:cs="Arial"/>
          <w:color w:val="000000" w:themeColor="text1"/>
          <w:szCs w:val="24"/>
        </w:rPr>
        <w:t xml:space="preserve">; and </w:t>
      </w:r>
      <w:r w:rsidR="00AC751A">
        <w:rPr>
          <w:rFonts w:cs="Arial"/>
          <w:color w:val="000000" w:themeColor="text1"/>
          <w:szCs w:val="24"/>
        </w:rPr>
        <w:t>that one or more of the</w:t>
      </w:r>
      <w:r w:rsidR="006D2C9F" w:rsidRPr="00DC7AA8">
        <w:rPr>
          <w:rFonts w:cs="Arial"/>
          <w:color w:val="000000" w:themeColor="text1"/>
          <w:szCs w:val="24"/>
        </w:rPr>
        <w:t xml:space="preserve"> children had a high level of missing-from-home incidents and that support in relation to that risk was </w:t>
      </w:r>
      <w:r w:rsidR="00AC751A">
        <w:rPr>
          <w:rFonts w:cs="Arial"/>
          <w:color w:val="000000" w:themeColor="text1"/>
          <w:szCs w:val="24"/>
        </w:rPr>
        <w:t>in</w:t>
      </w:r>
      <w:r w:rsidR="006D2C9F" w:rsidRPr="00DC7AA8">
        <w:rPr>
          <w:rFonts w:cs="Arial"/>
          <w:color w:val="000000" w:themeColor="text1"/>
          <w:szCs w:val="24"/>
        </w:rPr>
        <w:t>sufficient.</w:t>
      </w:r>
    </w:p>
    <w:p w14:paraId="5D112FD3" w14:textId="77777777" w:rsidR="00C14667" w:rsidRPr="00DC7AA8" w:rsidRDefault="00C14667" w:rsidP="00C14667">
      <w:pPr>
        <w:pStyle w:val="ListParagraph"/>
        <w:tabs>
          <w:tab w:val="left" w:pos="426"/>
        </w:tabs>
        <w:spacing w:line="288" w:lineRule="auto"/>
        <w:ind w:left="426"/>
        <w:jc w:val="both"/>
        <w:rPr>
          <w:rFonts w:cs="Arial"/>
          <w:color w:val="000000" w:themeColor="text1"/>
          <w:szCs w:val="24"/>
        </w:rPr>
      </w:pPr>
    </w:p>
    <w:p w14:paraId="15BDC4B3" w14:textId="73ED49C0" w:rsidR="00C14667" w:rsidRPr="00DC7AA8" w:rsidRDefault="00746F71" w:rsidP="0083485B">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We</w:t>
      </w:r>
      <w:r w:rsidR="00AC751A">
        <w:rPr>
          <w:rFonts w:cs="Arial"/>
          <w:color w:val="000000" w:themeColor="text1"/>
          <w:szCs w:val="24"/>
        </w:rPr>
        <w:t xml:space="preserve"> </w:t>
      </w:r>
      <w:r w:rsidRPr="00DC7AA8">
        <w:rPr>
          <w:rFonts w:cs="Arial"/>
          <w:color w:val="000000" w:themeColor="text1"/>
          <w:szCs w:val="24"/>
        </w:rPr>
        <w:t xml:space="preserve">had due regard to the </w:t>
      </w:r>
      <w:r w:rsidR="00C14667" w:rsidRPr="00DC7AA8">
        <w:rPr>
          <w:rFonts w:cs="Arial"/>
          <w:color w:val="000000" w:themeColor="text1"/>
          <w:szCs w:val="24"/>
        </w:rPr>
        <w:t xml:space="preserve">two </w:t>
      </w:r>
      <w:r w:rsidRPr="00DC7AA8">
        <w:rPr>
          <w:rFonts w:cs="Arial"/>
          <w:color w:val="000000" w:themeColor="text1"/>
          <w:szCs w:val="24"/>
        </w:rPr>
        <w:t>compliance notices issued, on 7 February 2025, following and as a result of the First Inspection</w:t>
      </w:r>
      <w:r w:rsidR="00C14667" w:rsidRPr="00DC7AA8">
        <w:rPr>
          <w:rFonts w:cs="Arial"/>
          <w:color w:val="000000" w:themeColor="text1"/>
          <w:szCs w:val="24"/>
        </w:rPr>
        <w:t>:</w:t>
      </w:r>
      <w:r w:rsidRPr="00DC7AA8">
        <w:rPr>
          <w:rFonts w:cs="Arial"/>
          <w:color w:val="000000" w:themeColor="text1"/>
          <w:szCs w:val="24"/>
        </w:rPr>
        <w:t xml:space="preserve"> </w:t>
      </w:r>
    </w:p>
    <w:p w14:paraId="3FA2468F" w14:textId="77777777" w:rsidR="00C14667" w:rsidRPr="00DC7AA8" w:rsidRDefault="00C14667" w:rsidP="00C14667">
      <w:pPr>
        <w:pStyle w:val="ListParagraph"/>
        <w:tabs>
          <w:tab w:val="left" w:pos="426"/>
        </w:tabs>
        <w:spacing w:line="288" w:lineRule="auto"/>
        <w:ind w:left="426"/>
        <w:jc w:val="both"/>
        <w:rPr>
          <w:rFonts w:cs="Arial"/>
          <w:color w:val="000000" w:themeColor="text1"/>
          <w:szCs w:val="24"/>
        </w:rPr>
      </w:pPr>
    </w:p>
    <w:p w14:paraId="2F5AB896" w14:textId="03B4A608" w:rsidR="00C14667" w:rsidRPr="00DC7AA8" w:rsidRDefault="00C14667" w:rsidP="00C14667">
      <w:pPr>
        <w:pStyle w:val="ListParagraph"/>
        <w:numPr>
          <w:ilvl w:val="0"/>
          <w:numId w:val="23"/>
        </w:numPr>
        <w:tabs>
          <w:tab w:val="left" w:pos="851"/>
        </w:tabs>
        <w:spacing w:line="288" w:lineRule="auto"/>
        <w:ind w:left="851" w:hanging="425"/>
        <w:jc w:val="both"/>
        <w:rPr>
          <w:rFonts w:cs="Arial"/>
          <w:color w:val="000000" w:themeColor="text1"/>
          <w:szCs w:val="24"/>
        </w:rPr>
      </w:pPr>
      <w:r w:rsidRPr="00DC7AA8">
        <w:rPr>
          <w:rFonts w:cs="Arial"/>
          <w:color w:val="000000" w:themeColor="text1"/>
          <w:szCs w:val="24"/>
        </w:rPr>
        <w:t>In the first of those, t</w:t>
      </w:r>
      <w:r w:rsidR="003C725A" w:rsidRPr="00DC7AA8">
        <w:rPr>
          <w:rFonts w:cs="Arial"/>
          <w:color w:val="000000" w:themeColor="text1"/>
          <w:szCs w:val="24"/>
        </w:rPr>
        <w:t>he Respondent set out what it considered to be material non-compliance with regulation 4 of the</w:t>
      </w:r>
      <w:r w:rsidR="00AC751A">
        <w:rPr>
          <w:rFonts w:cs="Arial"/>
          <w:color w:val="000000" w:themeColor="text1"/>
          <w:szCs w:val="24"/>
        </w:rPr>
        <w:t xml:space="preserve"> </w:t>
      </w:r>
      <w:r w:rsidR="003C725A" w:rsidRPr="00DC7AA8">
        <w:rPr>
          <w:rFonts w:cs="Arial"/>
          <w:color w:val="000000" w:themeColor="text1"/>
          <w:szCs w:val="24"/>
        </w:rPr>
        <w:t>Reg</w:t>
      </w:r>
      <w:r w:rsidR="00AC751A">
        <w:rPr>
          <w:rFonts w:cs="Arial"/>
          <w:color w:val="000000" w:themeColor="text1"/>
          <w:szCs w:val="24"/>
        </w:rPr>
        <w:t>s</w:t>
      </w:r>
      <w:r w:rsidR="003C725A" w:rsidRPr="00DC7AA8">
        <w:rPr>
          <w:rFonts w:cs="Arial"/>
          <w:color w:val="000000" w:themeColor="text1"/>
          <w:szCs w:val="24"/>
        </w:rPr>
        <w:t>. That r</w:t>
      </w:r>
      <w:r w:rsidR="00AC751A">
        <w:rPr>
          <w:rFonts w:cs="Arial"/>
          <w:color w:val="000000" w:themeColor="text1"/>
          <w:szCs w:val="24"/>
        </w:rPr>
        <w:t>egulation</w:t>
      </w:r>
      <w:r w:rsidR="003C725A" w:rsidRPr="00DC7AA8">
        <w:rPr>
          <w:rFonts w:cs="Arial"/>
          <w:color w:val="000000" w:themeColor="text1"/>
          <w:szCs w:val="24"/>
        </w:rPr>
        <w:t xml:space="preserve"> relates t</w:t>
      </w:r>
      <w:r w:rsidR="00AC751A">
        <w:rPr>
          <w:rFonts w:cs="Arial"/>
          <w:color w:val="000000" w:themeColor="text1"/>
          <w:szCs w:val="24"/>
        </w:rPr>
        <w:t>o the standards regarding</w:t>
      </w:r>
      <w:r w:rsidR="003C725A" w:rsidRPr="00DC7AA8">
        <w:rPr>
          <w:rFonts w:cs="Arial"/>
          <w:color w:val="000000" w:themeColor="text1"/>
          <w:szCs w:val="24"/>
        </w:rPr>
        <w:t xml:space="preserve"> leadership and management. The Respondent’s view was that, at th</w:t>
      </w:r>
      <w:r w:rsidR="00AC751A">
        <w:rPr>
          <w:rFonts w:cs="Arial"/>
          <w:color w:val="000000" w:themeColor="text1"/>
          <w:szCs w:val="24"/>
        </w:rPr>
        <w:t>at point in</w:t>
      </w:r>
      <w:r w:rsidR="003C725A" w:rsidRPr="00DC7AA8">
        <w:rPr>
          <w:rFonts w:cs="Arial"/>
          <w:color w:val="000000" w:themeColor="text1"/>
          <w:szCs w:val="24"/>
        </w:rPr>
        <w:t xml:space="preserve"> time, the inspector had found serious and widespread shortfalls in leadership and management practice</w:t>
      </w:r>
      <w:r w:rsidR="00AC751A">
        <w:rPr>
          <w:rFonts w:cs="Arial"/>
          <w:color w:val="000000" w:themeColor="text1"/>
          <w:szCs w:val="24"/>
        </w:rPr>
        <w:t>,</w:t>
      </w:r>
      <w:r w:rsidR="003C725A" w:rsidRPr="00DC7AA8">
        <w:rPr>
          <w:rFonts w:cs="Arial"/>
          <w:color w:val="000000" w:themeColor="text1"/>
          <w:szCs w:val="24"/>
        </w:rPr>
        <w:t xml:space="preserve"> giving cause for significant concern about the experiences and progress of the children admitted to the service.</w:t>
      </w:r>
      <w:r w:rsidRPr="00DC7AA8">
        <w:rPr>
          <w:rFonts w:cs="Arial"/>
          <w:color w:val="000000" w:themeColor="text1"/>
          <w:szCs w:val="24"/>
        </w:rPr>
        <w:t xml:space="preserve"> T</w:t>
      </w:r>
      <w:r w:rsidR="003C725A" w:rsidRPr="00DC7AA8">
        <w:rPr>
          <w:rFonts w:cs="Arial"/>
          <w:color w:val="000000" w:themeColor="text1"/>
          <w:szCs w:val="24"/>
        </w:rPr>
        <w:t xml:space="preserve">he concern </w:t>
      </w:r>
      <w:r w:rsidR="00AC751A">
        <w:rPr>
          <w:rFonts w:cs="Arial"/>
          <w:color w:val="000000" w:themeColor="text1"/>
          <w:szCs w:val="24"/>
        </w:rPr>
        <w:t>appears to have primarily been</w:t>
      </w:r>
      <w:r w:rsidR="003C725A" w:rsidRPr="00DC7AA8">
        <w:rPr>
          <w:rFonts w:cs="Arial"/>
          <w:color w:val="000000" w:themeColor="text1"/>
          <w:szCs w:val="24"/>
        </w:rPr>
        <w:t xml:space="preserve"> focused on the Appellant admitting children whose needs were basically too complex for the Appellant to properly manage</w:t>
      </w:r>
      <w:r w:rsidR="00AC751A">
        <w:rPr>
          <w:rFonts w:cs="Arial"/>
          <w:color w:val="000000" w:themeColor="text1"/>
          <w:szCs w:val="24"/>
        </w:rPr>
        <w:t xml:space="preserve"> </w:t>
      </w:r>
      <w:r w:rsidR="00F912EF">
        <w:rPr>
          <w:rFonts w:cs="Arial"/>
          <w:color w:val="000000" w:themeColor="text1"/>
          <w:szCs w:val="24"/>
        </w:rPr>
        <w:t xml:space="preserve">as </w:t>
      </w:r>
      <w:r w:rsidR="00AC751A">
        <w:rPr>
          <w:rFonts w:cs="Arial"/>
          <w:color w:val="000000" w:themeColor="text1"/>
          <w:szCs w:val="24"/>
        </w:rPr>
        <w:t>a provider of supported accommodation.</w:t>
      </w:r>
    </w:p>
    <w:p w14:paraId="39579036" w14:textId="77777777" w:rsidR="00C14667" w:rsidRPr="00DC7AA8" w:rsidRDefault="00C14667" w:rsidP="00C14667">
      <w:pPr>
        <w:pStyle w:val="ListParagraph"/>
        <w:tabs>
          <w:tab w:val="left" w:pos="851"/>
        </w:tabs>
        <w:spacing w:line="288" w:lineRule="auto"/>
        <w:ind w:left="851"/>
        <w:jc w:val="both"/>
        <w:rPr>
          <w:rFonts w:cs="Arial"/>
          <w:color w:val="000000" w:themeColor="text1"/>
          <w:szCs w:val="24"/>
        </w:rPr>
      </w:pPr>
    </w:p>
    <w:p w14:paraId="3AC8B1ED" w14:textId="4C82DE1C" w:rsidR="00746F71" w:rsidRPr="00DC7AA8" w:rsidRDefault="00C14667" w:rsidP="00C14667">
      <w:pPr>
        <w:pStyle w:val="ListParagraph"/>
        <w:numPr>
          <w:ilvl w:val="0"/>
          <w:numId w:val="23"/>
        </w:numPr>
        <w:tabs>
          <w:tab w:val="left" w:pos="851"/>
        </w:tabs>
        <w:spacing w:line="288" w:lineRule="auto"/>
        <w:ind w:left="851" w:hanging="425"/>
        <w:jc w:val="both"/>
        <w:rPr>
          <w:rFonts w:cs="Arial"/>
          <w:color w:val="000000" w:themeColor="text1"/>
          <w:szCs w:val="24"/>
        </w:rPr>
      </w:pPr>
      <w:r w:rsidRPr="00DC7AA8">
        <w:rPr>
          <w:rFonts w:cs="Arial"/>
          <w:color w:val="000000" w:themeColor="text1"/>
          <w:szCs w:val="24"/>
        </w:rPr>
        <w:t>In the second, t</w:t>
      </w:r>
      <w:r w:rsidR="003C725A" w:rsidRPr="00DC7AA8">
        <w:rPr>
          <w:rFonts w:cs="Arial"/>
          <w:color w:val="000000" w:themeColor="text1"/>
          <w:szCs w:val="24"/>
        </w:rPr>
        <w:t>he Respondent set out what it considered to be material non-compliance with regulation 7 of the Regs. That regulation is about children receiving individual and tailored support</w:t>
      </w:r>
      <w:r w:rsidRPr="00DC7AA8">
        <w:rPr>
          <w:rFonts w:cs="Arial"/>
          <w:color w:val="000000" w:themeColor="text1"/>
          <w:szCs w:val="24"/>
        </w:rPr>
        <w:t xml:space="preserve"> sufficient to</w:t>
      </w:r>
      <w:r w:rsidR="003C725A" w:rsidRPr="00DC7AA8">
        <w:rPr>
          <w:rFonts w:cs="Arial"/>
          <w:color w:val="000000" w:themeColor="text1"/>
          <w:szCs w:val="24"/>
        </w:rPr>
        <w:t xml:space="preserve"> meet</w:t>
      </w:r>
      <w:r w:rsidRPr="00DC7AA8">
        <w:rPr>
          <w:rFonts w:cs="Arial"/>
          <w:color w:val="000000" w:themeColor="text1"/>
          <w:szCs w:val="24"/>
        </w:rPr>
        <w:t xml:space="preserve"> </w:t>
      </w:r>
      <w:r w:rsidR="003C725A" w:rsidRPr="00DC7AA8">
        <w:rPr>
          <w:rFonts w:cs="Arial"/>
          <w:color w:val="000000" w:themeColor="text1"/>
          <w:szCs w:val="24"/>
        </w:rPr>
        <w:t>their needs.</w:t>
      </w:r>
      <w:r w:rsidRPr="00DC7AA8">
        <w:rPr>
          <w:rFonts w:cs="Arial"/>
          <w:color w:val="000000" w:themeColor="text1"/>
          <w:szCs w:val="24"/>
        </w:rPr>
        <w:t xml:space="preserve"> The Respondent</w:t>
      </w:r>
      <w:r w:rsidR="00AC751A">
        <w:rPr>
          <w:rFonts w:cs="Arial"/>
          <w:color w:val="000000" w:themeColor="text1"/>
          <w:szCs w:val="24"/>
        </w:rPr>
        <w:t xml:space="preserve"> </w:t>
      </w:r>
      <w:r w:rsidRPr="00DC7AA8">
        <w:rPr>
          <w:rFonts w:cs="Arial"/>
          <w:color w:val="000000" w:themeColor="text1"/>
          <w:szCs w:val="24"/>
        </w:rPr>
        <w:t xml:space="preserve">concluded there were serious issues with the support provided to service users and </w:t>
      </w:r>
      <w:r w:rsidR="00AC751A">
        <w:rPr>
          <w:rFonts w:cs="Arial"/>
          <w:color w:val="000000" w:themeColor="text1"/>
          <w:szCs w:val="24"/>
        </w:rPr>
        <w:t xml:space="preserve">also </w:t>
      </w:r>
      <w:r w:rsidRPr="00DC7AA8">
        <w:rPr>
          <w:rFonts w:cs="Arial"/>
          <w:color w:val="000000" w:themeColor="text1"/>
          <w:szCs w:val="24"/>
        </w:rPr>
        <w:t xml:space="preserve">with written </w:t>
      </w:r>
      <w:r w:rsidR="00AC751A">
        <w:rPr>
          <w:rFonts w:cs="Arial"/>
          <w:color w:val="000000" w:themeColor="text1"/>
          <w:szCs w:val="24"/>
        </w:rPr>
        <w:t xml:space="preserve">support/care </w:t>
      </w:r>
      <w:r w:rsidRPr="00DC7AA8">
        <w:rPr>
          <w:rFonts w:cs="Arial"/>
          <w:color w:val="000000" w:themeColor="text1"/>
          <w:szCs w:val="24"/>
        </w:rPr>
        <w:t>plans (both at the point of admission and also in terms of necessary updates thereafter).</w:t>
      </w:r>
    </w:p>
    <w:p w14:paraId="084CA7D5" w14:textId="77777777" w:rsidR="00746F71" w:rsidRPr="00DC7AA8" w:rsidRDefault="00746F71" w:rsidP="00746F71">
      <w:pPr>
        <w:pStyle w:val="ListParagraph"/>
        <w:tabs>
          <w:tab w:val="left" w:pos="426"/>
        </w:tabs>
        <w:spacing w:line="288" w:lineRule="auto"/>
        <w:ind w:left="426"/>
        <w:jc w:val="both"/>
        <w:rPr>
          <w:rFonts w:cs="Arial"/>
          <w:color w:val="000000" w:themeColor="text1"/>
          <w:szCs w:val="24"/>
        </w:rPr>
      </w:pPr>
    </w:p>
    <w:p w14:paraId="442D70EE" w14:textId="76D485FE" w:rsidR="006D2C9F" w:rsidRPr="00DC7AA8" w:rsidRDefault="006D2C9F" w:rsidP="0083485B">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We place on record</w:t>
      </w:r>
      <w:r w:rsidR="00AC751A">
        <w:rPr>
          <w:rFonts w:cs="Arial"/>
          <w:color w:val="000000" w:themeColor="text1"/>
          <w:szCs w:val="24"/>
        </w:rPr>
        <w:t>, though,</w:t>
      </w:r>
      <w:r w:rsidRPr="00DC7AA8">
        <w:rPr>
          <w:rFonts w:cs="Arial"/>
          <w:color w:val="000000" w:themeColor="text1"/>
          <w:szCs w:val="24"/>
        </w:rPr>
        <w:t xml:space="preserve"> that the Respondent’s conclusions were not uniformly negative. The Respondent noted in the inspection report, for example, that: “all staff” were “committed to helping children to try and make progress”; partner agencies had fed back that staff “genuinely cared” about </w:t>
      </w:r>
      <w:r w:rsidR="00AC751A">
        <w:rPr>
          <w:rFonts w:cs="Arial"/>
          <w:color w:val="000000" w:themeColor="text1"/>
          <w:szCs w:val="24"/>
        </w:rPr>
        <w:t xml:space="preserve">the </w:t>
      </w:r>
      <w:r w:rsidRPr="00DC7AA8">
        <w:rPr>
          <w:rFonts w:cs="Arial"/>
          <w:color w:val="000000" w:themeColor="text1"/>
          <w:szCs w:val="24"/>
        </w:rPr>
        <w:t xml:space="preserve">children; </w:t>
      </w:r>
      <w:r w:rsidR="00AC751A">
        <w:rPr>
          <w:rFonts w:cs="Arial"/>
          <w:color w:val="000000" w:themeColor="text1"/>
          <w:szCs w:val="24"/>
        </w:rPr>
        <w:t xml:space="preserve">and </w:t>
      </w:r>
      <w:r w:rsidRPr="00DC7AA8">
        <w:rPr>
          <w:rFonts w:cs="Arial"/>
          <w:color w:val="000000" w:themeColor="text1"/>
          <w:szCs w:val="24"/>
        </w:rPr>
        <w:t>staff appeared to have a good understanding of ways to communicate with children.</w:t>
      </w:r>
    </w:p>
    <w:p w14:paraId="6F518BE7" w14:textId="77777777" w:rsidR="006D2C9F" w:rsidRPr="00DC7AA8" w:rsidRDefault="006D2C9F" w:rsidP="006D2C9F">
      <w:pPr>
        <w:tabs>
          <w:tab w:val="left" w:pos="426"/>
        </w:tabs>
        <w:spacing w:line="288" w:lineRule="auto"/>
        <w:jc w:val="both"/>
        <w:rPr>
          <w:rFonts w:cs="Arial"/>
          <w:color w:val="000000" w:themeColor="text1"/>
          <w:sz w:val="24"/>
        </w:rPr>
      </w:pPr>
    </w:p>
    <w:p w14:paraId="6269735E" w14:textId="77777777" w:rsidR="005F29F8" w:rsidRDefault="005F29F8" w:rsidP="006D2C9F">
      <w:pPr>
        <w:tabs>
          <w:tab w:val="left" w:pos="426"/>
        </w:tabs>
        <w:spacing w:line="288" w:lineRule="auto"/>
        <w:jc w:val="both"/>
        <w:rPr>
          <w:rFonts w:cs="Arial"/>
          <w:i/>
          <w:iCs/>
          <w:color w:val="000000" w:themeColor="text1"/>
          <w:sz w:val="24"/>
        </w:rPr>
      </w:pPr>
    </w:p>
    <w:p w14:paraId="606F8AD6" w14:textId="77777777" w:rsidR="005F29F8" w:rsidRDefault="005F29F8" w:rsidP="006D2C9F">
      <w:pPr>
        <w:tabs>
          <w:tab w:val="left" w:pos="426"/>
        </w:tabs>
        <w:spacing w:line="288" w:lineRule="auto"/>
        <w:jc w:val="both"/>
        <w:rPr>
          <w:rFonts w:cs="Arial"/>
          <w:i/>
          <w:iCs/>
          <w:color w:val="000000" w:themeColor="text1"/>
          <w:sz w:val="24"/>
        </w:rPr>
      </w:pPr>
    </w:p>
    <w:p w14:paraId="2D837AE7" w14:textId="027BBF89" w:rsidR="006D2C9F" w:rsidRPr="00DC7AA8" w:rsidRDefault="006D2C9F" w:rsidP="006D2C9F">
      <w:pPr>
        <w:tabs>
          <w:tab w:val="left" w:pos="426"/>
        </w:tabs>
        <w:spacing w:line="288" w:lineRule="auto"/>
        <w:jc w:val="both"/>
        <w:rPr>
          <w:rFonts w:cs="Arial"/>
          <w:i/>
          <w:iCs/>
          <w:color w:val="000000" w:themeColor="text1"/>
          <w:sz w:val="24"/>
        </w:rPr>
      </w:pPr>
      <w:r w:rsidRPr="00DC7AA8">
        <w:rPr>
          <w:rFonts w:cs="Arial"/>
          <w:i/>
          <w:iCs/>
          <w:color w:val="000000" w:themeColor="text1"/>
          <w:sz w:val="24"/>
        </w:rPr>
        <w:t>The Monitoring Visit</w:t>
      </w:r>
    </w:p>
    <w:p w14:paraId="7DE6A2D1" w14:textId="77777777" w:rsidR="006D2C9F" w:rsidRPr="00DC7AA8" w:rsidRDefault="006D2C9F" w:rsidP="006D2C9F">
      <w:pPr>
        <w:tabs>
          <w:tab w:val="left" w:pos="426"/>
        </w:tabs>
        <w:spacing w:line="288" w:lineRule="auto"/>
        <w:jc w:val="both"/>
        <w:rPr>
          <w:rFonts w:cs="Arial"/>
          <w:color w:val="000000" w:themeColor="text1"/>
          <w:sz w:val="24"/>
        </w:rPr>
      </w:pPr>
    </w:p>
    <w:p w14:paraId="75471FC2" w14:textId="67C82D88" w:rsidR="006D2C9F" w:rsidRPr="00DC7AA8" w:rsidRDefault="006D2C9F" w:rsidP="0083485B">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It seems clear that the Monitoring Visit was relatively successful in the sense that the Appellant was able, at that point, to</w:t>
      </w:r>
      <w:r w:rsidR="00AC751A">
        <w:rPr>
          <w:rFonts w:cs="Arial"/>
          <w:color w:val="000000" w:themeColor="text1"/>
          <w:szCs w:val="24"/>
        </w:rPr>
        <w:t xml:space="preserve"> persuade the Respondent that</w:t>
      </w:r>
      <w:r w:rsidRPr="00DC7AA8">
        <w:rPr>
          <w:rFonts w:cs="Arial"/>
          <w:color w:val="000000" w:themeColor="text1"/>
          <w:szCs w:val="24"/>
        </w:rPr>
        <w:t xml:space="preserve"> it had </w:t>
      </w:r>
      <w:r w:rsidR="00AC751A">
        <w:rPr>
          <w:rFonts w:cs="Arial"/>
          <w:color w:val="000000" w:themeColor="text1"/>
          <w:szCs w:val="24"/>
        </w:rPr>
        <w:t>(</w:t>
      </w:r>
      <w:r w:rsidR="00203BE6" w:rsidRPr="00DC7AA8">
        <w:rPr>
          <w:rFonts w:cs="Arial"/>
          <w:color w:val="000000" w:themeColor="text1"/>
          <w:szCs w:val="24"/>
        </w:rPr>
        <w:t>apparently</w:t>
      </w:r>
      <w:r w:rsidR="00AC751A">
        <w:rPr>
          <w:rFonts w:cs="Arial"/>
          <w:color w:val="000000" w:themeColor="text1"/>
          <w:szCs w:val="24"/>
        </w:rPr>
        <w:t>)</w:t>
      </w:r>
      <w:r w:rsidR="00203BE6" w:rsidRPr="00DC7AA8">
        <w:rPr>
          <w:rFonts w:cs="Arial"/>
          <w:color w:val="000000" w:themeColor="text1"/>
          <w:szCs w:val="24"/>
        </w:rPr>
        <w:t xml:space="preserve"> </w:t>
      </w:r>
      <w:r w:rsidRPr="00DC7AA8">
        <w:rPr>
          <w:rFonts w:cs="Arial"/>
          <w:color w:val="000000" w:themeColor="text1"/>
          <w:szCs w:val="24"/>
        </w:rPr>
        <w:t>made sufficient progress</w:t>
      </w:r>
      <w:r w:rsidR="00AC751A">
        <w:rPr>
          <w:rFonts w:cs="Arial"/>
          <w:color w:val="000000" w:themeColor="text1"/>
          <w:szCs w:val="24"/>
        </w:rPr>
        <w:t xml:space="preserve"> in relevant respects</w:t>
      </w:r>
      <w:r w:rsidRPr="00DC7AA8">
        <w:rPr>
          <w:rFonts w:cs="Arial"/>
          <w:color w:val="000000" w:themeColor="text1"/>
          <w:szCs w:val="24"/>
        </w:rPr>
        <w:t>.</w:t>
      </w:r>
      <w:r w:rsidR="00203BE6" w:rsidRPr="00DC7AA8">
        <w:rPr>
          <w:rFonts w:cs="Arial"/>
          <w:color w:val="000000" w:themeColor="text1"/>
          <w:szCs w:val="24"/>
        </w:rPr>
        <w:t xml:space="preserve"> </w:t>
      </w:r>
      <w:r w:rsidR="004668E4" w:rsidRPr="00DC7AA8">
        <w:rPr>
          <w:rFonts w:cs="Arial"/>
          <w:color w:val="000000" w:themeColor="text1"/>
          <w:szCs w:val="24"/>
        </w:rPr>
        <w:t>To take one</w:t>
      </w:r>
      <w:r w:rsidR="00203BE6" w:rsidRPr="00DC7AA8">
        <w:rPr>
          <w:rFonts w:cs="Arial"/>
          <w:color w:val="000000" w:themeColor="text1"/>
          <w:szCs w:val="24"/>
        </w:rPr>
        <w:t xml:space="preserve"> </w:t>
      </w:r>
      <w:r w:rsidR="004668E4" w:rsidRPr="00DC7AA8">
        <w:rPr>
          <w:rFonts w:cs="Arial"/>
          <w:color w:val="000000" w:themeColor="text1"/>
          <w:szCs w:val="24"/>
        </w:rPr>
        <w:t xml:space="preserve">important </w:t>
      </w:r>
      <w:r w:rsidR="00203BE6" w:rsidRPr="00DC7AA8">
        <w:rPr>
          <w:rFonts w:cs="Arial"/>
          <w:color w:val="000000" w:themeColor="text1"/>
          <w:szCs w:val="24"/>
        </w:rPr>
        <w:t>example, the Respondent recorded, in the outcome document, that a “robust process”</w:t>
      </w:r>
      <w:r w:rsidR="004668E4" w:rsidRPr="00DC7AA8">
        <w:rPr>
          <w:rFonts w:cs="Arial"/>
          <w:color w:val="000000" w:themeColor="text1"/>
          <w:szCs w:val="24"/>
        </w:rPr>
        <w:t xml:space="preserve"> was now in place for managing referrals and children will only be admitted if their assessed needs can be properly met. </w:t>
      </w:r>
      <w:r w:rsidR="00AC751A">
        <w:rPr>
          <w:rFonts w:cs="Arial"/>
          <w:color w:val="000000" w:themeColor="text1"/>
          <w:szCs w:val="24"/>
        </w:rPr>
        <w:t>Various o</w:t>
      </w:r>
      <w:r w:rsidR="004668E4" w:rsidRPr="00DC7AA8">
        <w:rPr>
          <w:rFonts w:cs="Arial"/>
          <w:color w:val="000000" w:themeColor="text1"/>
          <w:szCs w:val="24"/>
        </w:rPr>
        <w:t>ther relevant improvements, to process and practice,</w:t>
      </w:r>
      <w:r w:rsidR="00AC751A">
        <w:rPr>
          <w:rFonts w:cs="Arial"/>
          <w:color w:val="000000" w:themeColor="text1"/>
          <w:szCs w:val="24"/>
        </w:rPr>
        <w:t xml:space="preserve"> are also noted/perceived.</w:t>
      </w:r>
    </w:p>
    <w:p w14:paraId="20D4014B" w14:textId="77777777" w:rsidR="004668E4" w:rsidRPr="00DC7AA8" w:rsidRDefault="004668E4" w:rsidP="004668E4">
      <w:pPr>
        <w:pStyle w:val="ListParagraph"/>
        <w:tabs>
          <w:tab w:val="left" w:pos="426"/>
        </w:tabs>
        <w:spacing w:line="288" w:lineRule="auto"/>
        <w:ind w:left="426"/>
        <w:jc w:val="both"/>
        <w:rPr>
          <w:rFonts w:cs="Arial"/>
          <w:color w:val="000000" w:themeColor="text1"/>
          <w:szCs w:val="24"/>
        </w:rPr>
      </w:pPr>
    </w:p>
    <w:p w14:paraId="27EEFCB2" w14:textId="3D403437" w:rsidR="004668E4" w:rsidRPr="00DC7AA8" w:rsidRDefault="004668E4" w:rsidP="0083485B">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Consequently, at a subsequent case review meeting on 27 March 2025, the Respondent concluded that the Appellant had made sufficient progress to meet the steps set out in the compliance notices. That said, the Appellant was</w:t>
      </w:r>
      <w:r w:rsidR="00AC751A">
        <w:rPr>
          <w:rFonts w:cs="Arial"/>
          <w:color w:val="000000" w:themeColor="text1"/>
          <w:szCs w:val="24"/>
        </w:rPr>
        <w:t>, it appears,</w:t>
      </w:r>
      <w:r w:rsidRPr="00DC7AA8">
        <w:rPr>
          <w:rFonts w:cs="Arial"/>
          <w:color w:val="000000" w:themeColor="text1"/>
          <w:szCs w:val="24"/>
        </w:rPr>
        <w:t xml:space="preserve"> still required to take some further actions </w:t>
      </w:r>
      <w:r w:rsidR="00AC751A">
        <w:rPr>
          <w:rFonts w:cs="Arial"/>
          <w:color w:val="000000" w:themeColor="text1"/>
          <w:szCs w:val="24"/>
        </w:rPr>
        <w:t>related to</w:t>
      </w:r>
      <w:r w:rsidRPr="00DC7AA8">
        <w:rPr>
          <w:rFonts w:cs="Arial"/>
          <w:color w:val="000000" w:themeColor="text1"/>
          <w:szCs w:val="24"/>
        </w:rPr>
        <w:t xml:space="preserve"> relevant standards.</w:t>
      </w:r>
    </w:p>
    <w:p w14:paraId="76DC0AD6" w14:textId="77777777" w:rsidR="004668E4" w:rsidRPr="00DC7AA8" w:rsidRDefault="004668E4" w:rsidP="004668E4">
      <w:pPr>
        <w:pStyle w:val="ListParagraph"/>
        <w:tabs>
          <w:tab w:val="left" w:pos="426"/>
        </w:tabs>
        <w:spacing w:line="288" w:lineRule="auto"/>
        <w:ind w:left="426"/>
        <w:jc w:val="both"/>
        <w:rPr>
          <w:rFonts w:cs="Arial"/>
          <w:color w:val="000000" w:themeColor="text1"/>
          <w:szCs w:val="24"/>
        </w:rPr>
      </w:pPr>
    </w:p>
    <w:p w14:paraId="6F1A94EA" w14:textId="7F099970" w:rsidR="004668E4" w:rsidRPr="00DC7AA8" w:rsidRDefault="004668E4" w:rsidP="0083485B">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However</w:t>
      </w:r>
      <w:r w:rsidR="00AC751A">
        <w:rPr>
          <w:rFonts w:cs="Arial"/>
          <w:color w:val="000000" w:themeColor="text1"/>
          <w:szCs w:val="24"/>
        </w:rPr>
        <w:t>:</w:t>
      </w:r>
      <w:r w:rsidRPr="00DC7AA8">
        <w:rPr>
          <w:rFonts w:cs="Arial"/>
          <w:color w:val="000000" w:themeColor="text1"/>
          <w:szCs w:val="24"/>
        </w:rPr>
        <w:t xml:space="preserve"> it is important to note, in our view, that, at the time of the Monitoring Visit, the Appellant had not, it seems</w:t>
      </w:r>
      <w:r w:rsidR="00AC751A">
        <w:rPr>
          <w:rFonts w:cs="Arial"/>
          <w:color w:val="000000" w:themeColor="text1"/>
          <w:szCs w:val="24"/>
        </w:rPr>
        <w:t xml:space="preserve">, </w:t>
      </w:r>
      <w:r w:rsidRPr="00DC7AA8">
        <w:rPr>
          <w:rFonts w:cs="Arial"/>
          <w:color w:val="000000" w:themeColor="text1"/>
          <w:szCs w:val="24"/>
        </w:rPr>
        <w:t>admitted any additional children to the service</w:t>
      </w:r>
      <w:r w:rsidR="006F3949" w:rsidRPr="00DC7AA8">
        <w:rPr>
          <w:rFonts w:cs="Arial"/>
          <w:color w:val="000000" w:themeColor="text1"/>
          <w:szCs w:val="24"/>
        </w:rPr>
        <w:t xml:space="preserve"> since the First Inspection. As a consequence, the decision to lift the compliance notices was, in essence, based on assurances provided by the Appellant that</w:t>
      </w:r>
      <w:r w:rsidR="00AC751A">
        <w:rPr>
          <w:rFonts w:cs="Arial"/>
          <w:color w:val="000000" w:themeColor="text1"/>
          <w:szCs w:val="24"/>
        </w:rPr>
        <w:t xml:space="preserve"> it</w:t>
      </w:r>
      <w:r w:rsidR="006F3949" w:rsidRPr="00DC7AA8">
        <w:rPr>
          <w:rFonts w:cs="Arial"/>
          <w:color w:val="000000" w:themeColor="text1"/>
          <w:szCs w:val="24"/>
        </w:rPr>
        <w:t xml:space="preserve"> had sufficiently improve</w:t>
      </w:r>
      <w:r w:rsidR="00AC751A">
        <w:rPr>
          <w:rFonts w:cs="Arial"/>
          <w:color w:val="000000" w:themeColor="text1"/>
          <w:szCs w:val="24"/>
        </w:rPr>
        <w:t>d its</w:t>
      </w:r>
      <w:r w:rsidR="006F3949" w:rsidRPr="00DC7AA8">
        <w:rPr>
          <w:rFonts w:cs="Arial"/>
          <w:color w:val="000000" w:themeColor="text1"/>
          <w:szCs w:val="24"/>
        </w:rPr>
        <w:t xml:space="preserve"> systems, processes, and practice. It was also, according to the statement of Mr Woodbridge, based on two referrals not being accepted during that period by the Appellant due to the children having been deemed </w:t>
      </w:r>
      <w:r w:rsidR="00AC751A">
        <w:rPr>
          <w:rFonts w:cs="Arial"/>
          <w:color w:val="000000" w:themeColor="text1"/>
          <w:szCs w:val="24"/>
        </w:rPr>
        <w:t>un</w:t>
      </w:r>
      <w:r w:rsidR="006F3949" w:rsidRPr="00DC7AA8">
        <w:rPr>
          <w:rFonts w:cs="Arial"/>
          <w:color w:val="000000" w:themeColor="text1"/>
          <w:szCs w:val="24"/>
        </w:rPr>
        <w:t xml:space="preserve">suitable for supported accommodation. The Appellant, according to the Respondent, </w:t>
      </w:r>
      <w:r w:rsidR="00AC751A">
        <w:rPr>
          <w:rFonts w:cs="Arial"/>
          <w:color w:val="000000" w:themeColor="text1"/>
          <w:szCs w:val="24"/>
        </w:rPr>
        <w:t xml:space="preserve">had </w:t>
      </w:r>
      <w:r w:rsidR="006F3949" w:rsidRPr="00DC7AA8">
        <w:rPr>
          <w:rFonts w:cs="Arial"/>
          <w:color w:val="000000" w:themeColor="text1"/>
          <w:szCs w:val="24"/>
        </w:rPr>
        <w:t xml:space="preserve">agreed that </w:t>
      </w:r>
      <w:r w:rsidR="00AC751A">
        <w:rPr>
          <w:rFonts w:cs="Arial"/>
          <w:color w:val="000000" w:themeColor="text1"/>
          <w:szCs w:val="24"/>
        </w:rPr>
        <w:t>it</w:t>
      </w:r>
      <w:r w:rsidR="006F3949" w:rsidRPr="00DC7AA8">
        <w:rPr>
          <w:rFonts w:cs="Arial"/>
          <w:color w:val="000000" w:themeColor="text1"/>
          <w:szCs w:val="24"/>
        </w:rPr>
        <w:t xml:space="preserve"> ha</w:t>
      </w:r>
      <w:r w:rsidR="00AC751A">
        <w:rPr>
          <w:rFonts w:cs="Arial"/>
          <w:color w:val="000000" w:themeColor="text1"/>
          <w:szCs w:val="24"/>
        </w:rPr>
        <w:t>d</w:t>
      </w:r>
      <w:r w:rsidR="006F3949" w:rsidRPr="00DC7AA8">
        <w:rPr>
          <w:rFonts w:cs="Arial"/>
          <w:color w:val="000000" w:themeColor="text1"/>
          <w:szCs w:val="24"/>
        </w:rPr>
        <w:t xml:space="preserve"> previously accepted children to the service who were not suitable for supported accommodation</w:t>
      </w:r>
      <w:r w:rsidR="00AC751A">
        <w:rPr>
          <w:rFonts w:cs="Arial"/>
          <w:color w:val="000000" w:themeColor="text1"/>
          <w:szCs w:val="24"/>
        </w:rPr>
        <w:t>;</w:t>
      </w:r>
      <w:r w:rsidR="006F3949" w:rsidRPr="00DC7AA8">
        <w:rPr>
          <w:rFonts w:cs="Arial"/>
          <w:color w:val="000000" w:themeColor="text1"/>
          <w:szCs w:val="24"/>
        </w:rPr>
        <w:t xml:space="preserve"> but </w:t>
      </w:r>
      <w:r w:rsidR="00AC751A">
        <w:rPr>
          <w:rFonts w:cs="Arial"/>
          <w:color w:val="000000" w:themeColor="text1"/>
          <w:szCs w:val="24"/>
        </w:rPr>
        <w:t>appeared to, by then, have</w:t>
      </w:r>
      <w:r w:rsidR="006F3949" w:rsidRPr="00DC7AA8">
        <w:rPr>
          <w:rFonts w:cs="Arial"/>
          <w:color w:val="000000" w:themeColor="text1"/>
          <w:szCs w:val="24"/>
        </w:rPr>
        <w:t xml:space="preserve"> re</w:t>
      </w:r>
      <w:r w:rsidR="00FD60C8">
        <w:rPr>
          <w:rFonts w:cs="Arial"/>
          <w:color w:val="000000" w:themeColor="text1"/>
          <w:szCs w:val="24"/>
        </w:rPr>
        <w:t xml:space="preserve">cognised </w:t>
      </w:r>
      <w:r w:rsidR="006F3949" w:rsidRPr="00DC7AA8">
        <w:rPr>
          <w:rFonts w:cs="Arial"/>
          <w:color w:val="000000" w:themeColor="text1"/>
          <w:szCs w:val="24"/>
        </w:rPr>
        <w:t>that as an issue and w</w:t>
      </w:r>
      <w:r w:rsidR="00FD60C8">
        <w:rPr>
          <w:rFonts w:cs="Arial"/>
          <w:color w:val="000000" w:themeColor="text1"/>
          <w:szCs w:val="24"/>
        </w:rPr>
        <w:t>as</w:t>
      </w:r>
      <w:r w:rsidR="006F3949" w:rsidRPr="00DC7AA8">
        <w:rPr>
          <w:rFonts w:cs="Arial"/>
          <w:color w:val="000000" w:themeColor="text1"/>
          <w:szCs w:val="24"/>
        </w:rPr>
        <w:t xml:space="preserve"> </w:t>
      </w:r>
      <w:r w:rsidR="00FD60C8">
        <w:rPr>
          <w:rFonts w:cs="Arial"/>
          <w:color w:val="000000" w:themeColor="text1"/>
          <w:szCs w:val="24"/>
        </w:rPr>
        <w:t xml:space="preserve">now </w:t>
      </w:r>
      <w:r w:rsidR="006F3949" w:rsidRPr="00DC7AA8">
        <w:rPr>
          <w:rFonts w:cs="Arial"/>
          <w:color w:val="000000" w:themeColor="text1"/>
          <w:szCs w:val="24"/>
        </w:rPr>
        <w:t>in a position, therefore, to prevent it from re-occurring in the future.</w:t>
      </w:r>
    </w:p>
    <w:p w14:paraId="49BE3DA1" w14:textId="77777777" w:rsidR="00760E21" w:rsidRPr="00DC7AA8" w:rsidRDefault="00760E21" w:rsidP="006F3949">
      <w:pPr>
        <w:tabs>
          <w:tab w:val="left" w:pos="426"/>
        </w:tabs>
        <w:spacing w:line="288" w:lineRule="auto"/>
        <w:jc w:val="both"/>
        <w:rPr>
          <w:rFonts w:cs="Arial"/>
          <w:color w:val="000000" w:themeColor="text1"/>
          <w:sz w:val="24"/>
        </w:rPr>
      </w:pPr>
    </w:p>
    <w:p w14:paraId="2E2695AB" w14:textId="4F6BC217" w:rsidR="006F3949" w:rsidRPr="00DC7AA8" w:rsidRDefault="006F3949" w:rsidP="006F3949">
      <w:pPr>
        <w:tabs>
          <w:tab w:val="left" w:pos="426"/>
        </w:tabs>
        <w:spacing w:line="288" w:lineRule="auto"/>
        <w:jc w:val="both"/>
        <w:rPr>
          <w:rFonts w:cs="Arial"/>
          <w:i/>
          <w:iCs/>
          <w:color w:val="000000" w:themeColor="text1"/>
          <w:sz w:val="24"/>
        </w:rPr>
      </w:pPr>
      <w:r w:rsidRPr="00DC7AA8">
        <w:rPr>
          <w:rFonts w:cs="Arial"/>
          <w:i/>
          <w:iCs/>
          <w:color w:val="000000" w:themeColor="text1"/>
          <w:sz w:val="24"/>
        </w:rPr>
        <w:t>The Second Inspection</w:t>
      </w:r>
    </w:p>
    <w:p w14:paraId="3F01ECA3" w14:textId="77777777" w:rsidR="006D2C9F" w:rsidRPr="00DC7AA8" w:rsidRDefault="006D2C9F" w:rsidP="006D2C9F">
      <w:pPr>
        <w:pStyle w:val="ListParagraph"/>
        <w:tabs>
          <w:tab w:val="left" w:pos="426"/>
        </w:tabs>
        <w:spacing w:line="288" w:lineRule="auto"/>
        <w:ind w:left="426"/>
        <w:jc w:val="both"/>
        <w:rPr>
          <w:rFonts w:cs="Arial"/>
          <w:color w:val="000000" w:themeColor="text1"/>
          <w:szCs w:val="24"/>
        </w:rPr>
      </w:pPr>
    </w:p>
    <w:p w14:paraId="0F99C819" w14:textId="64FF3CAB" w:rsidR="006F3949" w:rsidRPr="00DC7AA8" w:rsidRDefault="006F3949" w:rsidP="006F3949">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The evidence from the Respondent in relation to the Second Inspection, and indeed in relation to the Monitoring Visit, also appears to us to be credible, reliable and persuasive.</w:t>
      </w:r>
    </w:p>
    <w:p w14:paraId="62C6A21A" w14:textId="77777777" w:rsidR="006F3949" w:rsidRPr="00DC7AA8" w:rsidRDefault="006F3949" w:rsidP="006F3949">
      <w:pPr>
        <w:pStyle w:val="ListParagraph"/>
        <w:tabs>
          <w:tab w:val="left" w:pos="426"/>
        </w:tabs>
        <w:spacing w:line="288" w:lineRule="auto"/>
        <w:ind w:left="426"/>
        <w:jc w:val="both"/>
        <w:rPr>
          <w:rFonts w:cs="Arial"/>
          <w:color w:val="000000" w:themeColor="text1"/>
          <w:szCs w:val="24"/>
        </w:rPr>
      </w:pPr>
    </w:p>
    <w:p w14:paraId="1F765E7B" w14:textId="28A68540" w:rsidR="006F3949" w:rsidRPr="00DC7AA8" w:rsidRDefault="006F3949" w:rsidP="006F3949">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 xml:space="preserve">The Second Inspection </w:t>
      </w:r>
      <w:r w:rsidR="00FD60C8">
        <w:rPr>
          <w:rFonts w:cs="Arial"/>
          <w:color w:val="000000" w:themeColor="text1"/>
          <w:szCs w:val="24"/>
        </w:rPr>
        <w:t>had always been planned and anticipated</w:t>
      </w:r>
      <w:r w:rsidRPr="00DC7AA8">
        <w:rPr>
          <w:rFonts w:cs="Arial"/>
          <w:color w:val="000000" w:themeColor="text1"/>
          <w:szCs w:val="24"/>
        </w:rPr>
        <w:t xml:space="preserve">, as indicated above, </w:t>
      </w:r>
      <w:r w:rsidR="00FD60C8">
        <w:rPr>
          <w:rFonts w:cs="Arial"/>
          <w:color w:val="000000" w:themeColor="text1"/>
          <w:szCs w:val="24"/>
        </w:rPr>
        <w:t>to have occurred</w:t>
      </w:r>
      <w:r w:rsidRPr="00DC7AA8">
        <w:rPr>
          <w:rFonts w:cs="Arial"/>
          <w:color w:val="000000" w:themeColor="text1"/>
          <w:szCs w:val="24"/>
        </w:rPr>
        <w:t xml:space="preserve"> within </w:t>
      </w:r>
      <w:r w:rsidR="00FD60C8">
        <w:rPr>
          <w:rFonts w:cs="Arial"/>
          <w:color w:val="000000" w:themeColor="text1"/>
          <w:szCs w:val="24"/>
        </w:rPr>
        <w:t xml:space="preserve">(approximately) </w:t>
      </w:r>
      <w:r w:rsidRPr="00DC7AA8">
        <w:rPr>
          <w:rFonts w:cs="Arial"/>
          <w:color w:val="000000" w:themeColor="text1"/>
          <w:szCs w:val="24"/>
        </w:rPr>
        <w:t xml:space="preserve">a six month </w:t>
      </w:r>
      <w:r w:rsidR="00FD60C8">
        <w:rPr>
          <w:rFonts w:cs="Arial"/>
          <w:color w:val="000000" w:themeColor="text1"/>
          <w:szCs w:val="24"/>
        </w:rPr>
        <w:t>period</w:t>
      </w:r>
      <w:r w:rsidRPr="00DC7AA8">
        <w:rPr>
          <w:rFonts w:cs="Arial"/>
          <w:color w:val="000000" w:themeColor="text1"/>
          <w:szCs w:val="24"/>
        </w:rPr>
        <w:t>. We note that it was conducted, once again, by Mr James (who also, we note, conducted the Monitoring Visit). We also note the evidence that Ms Pearson played a relatively significant support role in</w:t>
      </w:r>
      <w:r w:rsidR="00FD60C8">
        <w:rPr>
          <w:rFonts w:cs="Arial"/>
          <w:color w:val="000000" w:themeColor="text1"/>
          <w:szCs w:val="24"/>
        </w:rPr>
        <w:t xml:space="preserve"> relation to</w:t>
      </w:r>
      <w:r w:rsidRPr="00DC7AA8">
        <w:rPr>
          <w:rFonts w:cs="Arial"/>
          <w:color w:val="000000" w:themeColor="text1"/>
          <w:szCs w:val="24"/>
        </w:rPr>
        <w:t xml:space="preserve"> the Second Inspection.</w:t>
      </w:r>
    </w:p>
    <w:p w14:paraId="62ADB44D" w14:textId="77777777" w:rsidR="006F3949" w:rsidRPr="00DC7AA8" w:rsidRDefault="006F3949" w:rsidP="006F3949">
      <w:pPr>
        <w:pStyle w:val="ListParagraph"/>
        <w:tabs>
          <w:tab w:val="left" w:pos="426"/>
        </w:tabs>
        <w:spacing w:line="288" w:lineRule="auto"/>
        <w:ind w:left="426"/>
        <w:jc w:val="both"/>
        <w:rPr>
          <w:rFonts w:cs="Arial"/>
          <w:color w:val="000000" w:themeColor="text1"/>
          <w:szCs w:val="24"/>
        </w:rPr>
      </w:pPr>
    </w:p>
    <w:p w14:paraId="23ABB096" w14:textId="62BF7E05" w:rsidR="006F3949" w:rsidRPr="00DC7AA8" w:rsidRDefault="006F3949" w:rsidP="006F3949">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 xml:space="preserve">One of the main problems faced by the Appellant in this appeal is that the balance </w:t>
      </w:r>
      <w:r w:rsidRPr="00DC7AA8">
        <w:rPr>
          <w:rFonts w:cs="Arial"/>
          <w:color w:val="000000" w:themeColor="text1"/>
          <w:szCs w:val="24"/>
        </w:rPr>
        <w:lastRenderedPageBreak/>
        <w:t>of the evidence before us</w:t>
      </w:r>
      <w:r w:rsidR="00FD60C8">
        <w:rPr>
          <w:rFonts w:cs="Arial"/>
          <w:color w:val="000000" w:themeColor="text1"/>
          <w:szCs w:val="24"/>
        </w:rPr>
        <w:t xml:space="preserve"> tends to</w:t>
      </w:r>
      <w:r w:rsidRPr="00DC7AA8">
        <w:rPr>
          <w:rFonts w:cs="Arial"/>
          <w:color w:val="000000" w:themeColor="text1"/>
          <w:szCs w:val="24"/>
        </w:rPr>
        <w:t xml:space="preserve"> indicate that, at the time of the Second Inspection, there were </w:t>
      </w:r>
      <w:r w:rsidR="00FD60C8">
        <w:rPr>
          <w:rFonts w:cs="Arial"/>
          <w:color w:val="000000" w:themeColor="text1"/>
          <w:szCs w:val="24"/>
        </w:rPr>
        <w:t>probably</w:t>
      </w:r>
      <w:r w:rsidRPr="00DC7AA8">
        <w:rPr>
          <w:rFonts w:cs="Arial"/>
          <w:color w:val="000000" w:themeColor="text1"/>
          <w:szCs w:val="24"/>
        </w:rPr>
        <w:t xml:space="preserve"> still a number of significant issues with the service, including </w:t>
      </w:r>
      <w:r w:rsidR="00FD60C8">
        <w:rPr>
          <w:rFonts w:cs="Arial"/>
          <w:color w:val="000000" w:themeColor="text1"/>
          <w:szCs w:val="24"/>
        </w:rPr>
        <w:t>some of those</w:t>
      </w:r>
      <w:r w:rsidRPr="00DC7AA8">
        <w:rPr>
          <w:rFonts w:cs="Arial"/>
          <w:color w:val="000000" w:themeColor="text1"/>
          <w:szCs w:val="24"/>
        </w:rPr>
        <w:t xml:space="preserve"> already identified in the First Inspection. That, if correct, would suggest a pattern</w:t>
      </w:r>
      <w:r w:rsidR="00FD60C8">
        <w:rPr>
          <w:rFonts w:cs="Arial"/>
          <w:color w:val="000000" w:themeColor="text1"/>
          <w:szCs w:val="24"/>
        </w:rPr>
        <w:t xml:space="preserve"> of problematic service provision,</w:t>
      </w:r>
      <w:r w:rsidRPr="00DC7AA8">
        <w:rPr>
          <w:rFonts w:cs="Arial"/>
          <w:color w:val="000000" w:themeColor="text1"/>
          <w:szCs w:val="24"/>
        </w:rPr>
        <w:t xml:space="preserve"> and a</w:t>
      </w:r>
      <w:r w:rsidR="00FD60C8">
        <w:rPr>
          <w:rFonts w:cs="Arial"/>
          <w:color w:val="000000" w:themeColor="text1"/>
          <w:szCs w:val="24"/>
        </w:rPr>
        <w:t xml:space="preserve"> potentially serious issue</w:t>
      </w:r>
      <w:r w:rsidRPr="00DC7AA8">
        <w:rPr>
          <w:rFonts w:cs="Arial"/>
          <w:color w:val="000000" w:themeColor="text1"/>
          <w:szCs w:val="24"/>
        </w:rPr>
        <w:t xml:space="preserve"> relating to the Appellant’s capability (or willingness) to effectively </w:t>
      </w:r>
      <w:r w:rsidR="00FD60C8">
        <w:rPr>
          <w:rFonts w:cs="Arial"/>
          <w:color w:val="000000" w:themeColor="text1"/>
          <w:szCs w:val="24"/>
        </w:rPr>
        <w:t>implement, embed and sustain</w:t>
      </w:r>
      <w:r w:rsidRPr="00DC7AA8">
        <w:rPr>
          <w:rFonts w:cs="Arial"/>
          <w:color w:val="000000" w:themeColor="text1"/>
          <w:szCs w:val="24"/>
        </w:rPr>
        <w:t xml:space="preserve"> necessary changes and improvements.</w:t>
      </w:r>
    </w:p>
    <w:p w14:paraId="5DB908E3" w14:textId="77777777" w:rsidR="006F3949" w:rsidRPr="00DC7AA8" w:rsidRDefault="006F3949" w:rsidP="006F3949">
      <w:pPr>
        <w:pStyle w:val="ListParagraph"/>
        <w:tabs>
          <w:tab w:val="left" w:pos="426"/>
        </w:tabs>
        <w:spacing w:line="288" w:lineRule="auto"/>
        <w:ind w:left="426"/>
        <w:jc w:val="both"/>
        <w:rPr>
          <w:rFonts w:cs="Arial"/>
          <w:color w:val="000000" w:themeColor="text1"/>
          <w:szCs w:val="24"/>
        </w:rPr>
      </w:pPr>
    </w:p>
    <w:p w14:paraId="3F18033C" w14:textId="6E31F3D0" w:rsidR="00FD4AE8" w:rsidRPr="00DC7AA8" w:rsidRDefault="006F3949" w:rsidP="006F3949">
      <w:pPr>
        <w:pStyle w:val="ListParagraph"/>
        <w:numPr>
          <w:ilvl w:val="0"/>
          <w:numId w:val="2"/>
        </w:numPr>
        <w:tabs>
          <w:tab w:val="left" w:pos="426"/>
        </w:tabs>
        <w:spacing w:line="288" w:lineRule="auto"/>
        <w:ind w:left="426" w:hanging="426"/>
        <w:jc w:val="both"/>
        <w:rPr>
          <w:rFonts w:cs="Arial"/>
          <w:color w:val="000000" w:themeColor="text1"/>
          <w:szCs w:val="24"/>
        </w:rPr>
      </w:pPr>
      <w:r w:rsidRPr="00DC7AA8">
        <w:rPr>
          <w:rFonts w:cs="Arial"/>
          <w:color w:val="000000" w:themeColor="text1"/>
          <w:szCs w:val="24"/>
        </w:rPr>
        <w:t>The relevant concerns are summarised in the Notice and set out in the witness statements</w:t>
      </w:r>
      <w:r w:rsidR="00FD60C8">
        <w:rPr>
          <w:rFonts w:cs="Arial"/>
          <w:color w:val="000000" w:themeColor="text1"/>
          <w:szCs w:val="24"/>
        </w:rPr>
        <w:t xml:space="preserve"> provided by the Respondent.</w:t>
      </w:r>
      <w:r w:rsidRPr="00DC7AA8">
        <w:rPr>
          <w:rFonts w:cs="Arial"/>
          <w:color w:val="000000" w:themeColor="text1"/>
          <w:szCs w:val="24"/>
        </w:rPr>
        <w:t xml:space="preserve"> </w:t>
      </w:r>
    </w:p>
    <w:p w14:paraId="2BD920E6" w14:textId="77777777" w:rsidR="00FD4AE8" w:rsidRPr="00DC7AA8" w:rsidRDefault="00FD4AE8" w:rsidP="00FD4AE8">
      <w:pPr>
        <w:pStyle w:val="ListParagraph"/>
        <w:tabs>
          <w:tab w:val="left" w:pos="426"/>
        </w:tabs>
        <w:spacing w:line="288" w:lineRule="auto"/>
        <w:ind w:left="426"/>
        <w:jc w:val="both"/>
        <w:rPr>
          <w:rFonts w:cs="Arial"/>
          <w:color w:val="000000" w:themeColor="text1"/>
          <w:szCs w:val="24"/>
        </w:rPr>
      </w:pPr>
    </w:p>
    <w:p w14:paraId="07D5EC69" w14:textId="6392E78F" w:rsidR="006F3949" w:rsidRPr="00DC7AA8" w:rsidRDefault="00F91FFC" w:rsidP="006F3949">
      <w:pPr>
        <w:pStyle w:val="ListParagraph"/>
        <w:numPr>
          <w:ilvl w:val="0"/>
          <w:numId w:val="2"/>
        </w:numPr>
        <w:tabs>
          <w:tab w:val="left" w:pos="426"/>
        </w:tabs>
        <w:spacing w:line="288" w:lineRule="auto"/>
        <w:ind w:left="426" w:hanging="426"/>
        <w:jc w:val="both"/>
        <w:rPr>
          <w:rFonts w:cs="Arial"/>
          <w:color w:val="000000" w:themeColor="text1"/>
          <w:szCs w:val="24"/>
        </w:rPr>
      </w:pPr>
      <w:r>
        <w:rPr>
          <w:rFonts w:cs="Arial"/>
          <w:color w:val="000000" w:themeColor="text1"/>
          <w:szCs w:val="24"/>
        </w:rPr>
        <w:t xml:space="preserve">One important area of concern related, again, to </w:t>
      </w:r>
      <w:r w:rsidR="00FD60C8">
        <w:rPr>
          <w:rFonts w:cs="Arial"/>
          <w:color w:val="000000" w:themeColor="text1"/>
          <w:szCs w:val="24"/>
        </w:rPr>
        <w:t xml:space="preserve">the management of </w:t>
      </w:r>
      <w:r>
        <w:rPr>
          <w:rFonts w:cs="Arial"/>
          <w:color w:val="000000" w:themeColor="text1"/>
          <w:szCs w:val="24"/>
        </w:rPr>
        <w:t>admissions</w:t>
      </w:r>
      <w:r w:rsidR="00FD60C8">
        <w:rPr>
          <w:rFonts w:cs="Arial"/>
          <w:color w:val="000000" w:themeColor="text1"/>
          <w:szCs w:val="24"/>
        </w:rPr>
        <w:t>/ referrals</w:t>
      </w:r>
      <w:r>
        <w:rPr>
          <w:rFonts w:cs="Arial"/>
          <w:color w:val="000000" w:themeColor="text1"/>
          <w:szCs w:val="24"/>
        </w:rPr>
        <w:t>. T</w:t>
      </w:r>
      <w:r w:rsidR="006F3949" w:rsidRPr="00DC7AA8">
        <w:rPr>
          <w:rFonts w:cs="Arial"/>
          <w:color w:val="000000" w:themeColor="text1"/>
          <w:szCs w:val="24"/>
        </w:rPr>
        <w:t xml:space="preserve">he </w:t>
      </w:r>
      <w:r>
        <w:rPr>
          <w:rFonts w:cs="Arial"/>
          <w:color w:val="000000" w:themeColor="text1"/>
          <w:szCs w:val="24"/>
        </w:rPr>
        <w:t xml:space="preserve">balance of </w:t>
      </w:r>
      <w:r w:rsidR="006F3949" w:rsidRPr="00DC7AA8">
        <w:rPr>
          <w:rFonts w:cs="Arial"/>
          <w:color w:val="000000" w:themeColor="text1"/>
          <w:szCs w:val="24"/>
        </w:rPr>
        <w:t>evidence indicates that there were genuine concerns, on what appear reasonable grounds, that the Appellant</w:t>
      </w:r>
      <w:r w:rsidR="00FD4AE8" w:rsidRPr="00DC7AA8">
        <w:rPr>
          <w:rFonts w:cs="Arial"/>
          <w:color w:val="000000" w:themeColor="text1"/>
          <w:szCs w:val="24"/>
        </w:rPr>
        <w:t>’s process or decision-making in relation to admissions</w:t>
      </w:r>
      <w:r w:rsidR="00FD60C8">
        <w:rPr>
          <w:rFonts w:cs="Arial"/>
          <w:color w:val="000000" w:themeColor="text1"/>
          <w:szCs w:val="24"/>
        </w:rPr>
        <w:t>/referrals</w:t>
      </w:r>
      <w:r w:rsidR="00FD4AE8" w:rsidRPr="00DC7AA8">
        <w:rPr>
          <w:rFonts w:cs="Arial"/>
          <w:color w:val="000000" w:themeColor="text1"/>
          <w:szCs w:val="24"/>
        </w:rPr>
        <w:t xml:space="preserve"> was not </w:t>
      </w:r>
      <w:r w:rsidR="00FD60C8">
        <w:rPr>
          <w:rFonts w:cs="Arial"/>
          <w:color w:val="000000" w:themeColor="text1"/>
          <w:szCs w:val="24"/>
        </w:rPr>
        <w:t>being (</w:t>
      </w:r>
      <w:r w:rsidR="00FD4AE8" w:rsidRPr="00DC7AA8">
        <w:rPr>
          <w:rFonts w:cs="Arial"/>
          <w:color w:val="000000" w:themeColor="text1"/>
          <w:szCs w:val="24"/>
        </w:rPr>
        <w:t>and/or would not be</w:t>
      </w:r>
      <w:r w:rsidR="00FD60C8">
        <w:rPr>
          <w:rFonts w:cs="Arial"/>
          <w:color w:val="000000" w:themeColor="text1"/>
          <w:szCs w:val="24"/>
        </w:rPr>
        <w:t>)</w:t>
      </w:r>
      <w:r w:rsidR="00FD4AE8" w:rsidRPr="00DC7AA8">
        <w:rPr>
          <w:rFonts w:cs="Arial"/>
          <w:color w:val="000000" w:themeColor="text1"/>
          <w:szCs w:val="24"/>
        </w:rPr>
        <w:t xml:space="preserve"> conducted in line wit</w:t>
      </w:r>
      <w:r w:rsidR="00FD60C8">
        <w:rPr>
          <w:rFonts w:cs="Arial"/>
          <w:color w:val="000000" w:themeColor="text1"/>
          <w:szCs w:val="24"/>
        </w:rPr>
        <w:t>h good</w:t>
      </w:r>
      <w:r w:rsidR="00FD4AE8" w:rsidRPr="00DC7AA8">
        <w:rPr>
          <w:rFonts w:cs="Arial"/>
          <w:color w:val="000000" w:themeColor="text1"/>
          <w:szCs w:val="24"/>
        </w:rPr>
        <w:t xml:space="preserve"> safe practice and the</w:t>
      </w:r>
      <w:r w:rsidR="00FD60C8">
        <w:rPr>
          <w:rFonts w:cs="Arial"/>
          <w:color w:val="000000" w:themeColor="text1"/>
          <w:szCs w:val="24"/>
        </w:rPr>
        <w:t xml:space="preserve"> relevant</w:t>
      </w:r>
      <w:r w:rsidR="00FD4AE8" w:rsidRPr="00DC7AA8">
        <w:rPr>
          <w:rFonts w:cs="Arial"/>
          <w:color w:val="000000" w:themeColor="text1"/>
          <w:szCs w:val="24"/>
        </w:rPr>
        <w:t xml:space="preserve"> regulatory framework. The Respondent’s evidence suggests that out of</w:t>
      </w:r>
      <w:r w:rsidR="00FD60C8">
        <w:rPr>
          <w:rFonts w:cs="Arial"/>
          <w:color w:val="000000" w:themeColor="text1"/>
          <w:szCs w:val="24"/>
        </w:rPr>
        <w:t xml:space="preserve"> </w:t>
      </w:r>
      <w:r w:rsidR="00FD4AE8" w:rsidRPr="00DC7AA8">
        <w:rPr>
          <w:rFonts w:cs="Arial"/>
          <w:color w:val="000000" w:themeColor="text1"/>
          <w:szCs w:val="24"/>
        </w:rPr>
        <w:t>three children admitted recently, two were considered by the Respondent to have been inappropriate, at the point of admission, for supported accommodation such as that provided by the Appellant</w:t>
      </w:r>
      <w:r w:rsidR="00FD60C8">
        <w:rPr>
          <w:rFonts w:cs="Arial"/>
          <w:color w:val="000000" w:themeColor="text1"/>
          <w:szCs w:val="24"/>
        </w:rPr>
        <w:t>:</w:t>
      </w:r>
    </w:p>
    <w:p w14:paraId="2EA17A3A" w14:textId="77777777" w:rsidR="00E628EC" w:rsidRDefault="00E628EC" w:rsidP="00E628EC">
      <w:pPr>
        <w:pStyle w:val="ListParagraph"/>
        <w:tabs>
          <w:tab w:val="left" w:pos="426"/>
        </w:tabs>
        <w:spacing w:line="288" w:lineRule="auto"/>
        <w:ind w:left="426"/>
        <w:jc w:val="both"/>
        <w:rPr>
          <w:rFonts w:cs="Arial"/>
          <w:color w:val="000000" w:themeColor="text1"/>
          <w:szCs w:val="24"/>
        </w:rPr>
      </w:pPr>
    </w:p>
    <w:p w14:paraId="442923A2" w14:textId="463B9D2B" w:rsidR="00FD60C8" w:rsidRDefault="00FD4AE8" w:rsidP="00FD60C8">
      <w:pPr>
        <w:pStyle w:val="ListParagraph"/>
        <w:numPr>
          <w:ilvl w:val="0"/>
          <w:numId w:val="26"/>
        </w:numPr>
        <w:tabs>
          <w:tab w:val="left" w:pos="993"/>
        </w:tabs>
        <w:spacing w:line="288" w:lineRule="auto"/>
        <w:ind w:left="993" w:hanging="567"/>
        <w:jc w:val="both"/>
        <w:rPr>
          <w:rFonts w:cs="Arial"/>
          <w:color w:val="000000" w:themeColor="text1"/>
          <w:szCs w:val="24"/>
        </w:rPr>
      </w:pPr>
      <w:r w:rsidRPr="00DC7AA8">
        <w:rPr>
          <w:rFonts w:cs="Arial"/>
          <w:color w:val="000000" w:themeColor="text1"/>
          <w:szCs w:val="24"/>
        </w:rPr>
        <w:t>The referral for one child (</w:t>
      </w:r>
      <w:r w:rsidR="00E628EC">
        <w:rPr>
          <w:rFonts w:cs="Arial"/>
          <w:color w:val="000000" w:themeColor="text1"/>
          <w:szCs w:val="24"/>
        </w:rPr>
        <w:t>“</w:t>
      </w:r>
      <w:r w:rsidRPr="00DC7AA8">
        <w:rPr>
          <w:rFonts w:cs="Arial"/>
          <w:color w:val="000000" w:themeColor="text1"/>
          <w:szCs w:val="24"/>
        </w:rPr>
        <w:t>Child S</w:t>
      </w:r>
      <w:r w:rsidR="00E628EC">
        <w:rPr>
          <w:rFonts w:cs="Arial"/>
          <w:color w:val="000000" w:themeColor="text1"/>
          <w:szCs w:val="24"/>
        </w:rPr>
        <w:t>”</w:t>
      </w:r>
      <w:r w:rsidRPr="00DC7AA8">
        <w:rPr>
          <w:rFonts w:cs="Arial"/>
          <w:color w:val="000000" w:themeColor="text1"/>
          <w:szCs w:val="24"/>
        </w:rPr>
        <w:t>)</w:t>
      </w:r>
      <w:r w:rsidR="00E628EC">
        <w:rPr>
          <w:rFonts w:cs="Arial"/>
          <w:color w:val="000000" w:themeColor="text1"/>
          <w:szCs w:val="24"/>
        </w:rPr>
        <w:t>, we are told, indicated that he</w:t>
      </w:r>
      <w:r w:rsidR="00FD60C8">
        <w:rPr>
          <w:rFonts w:cs="Arial"/>
          <w:color w:val="000000" w:themeColor="text1"/>
          <w:szCs w:val="24"/>
        </w:rPr>
        <w:t xml:space="preserve"> or she</w:t>
      </w:r>
      <w:r w:rsidR="00E628EC">
        <w:rPr>
          <w:rFonts w:cs="Arial"/>
          <w:color w:val="000000" w:themeColor="text1"/>
          <w:szCs w:val="24"/>
        </w:rPr>
        <w:t xml:space="preserve"> “heard voices”, used substances, cause</w:t>
      </w:r>
      <w:r w:rsidR="00FD60C8">
        <w:rPr>
          <w:rFonts w:cs="Arial"/>
          <w:color w:val="000000" w:themeColor="text1"/>
          <w:szCs w:val="24"/>
        </w:rPr>
        <w:t>d</w:t>
      </w:r>
      <w:r w:rsidR="00E628EC">
        <w:rPr>
          <w:rFonts w:cs="Arial"/>
          <w:color w:val="000000" w:themeColor="text1"/>
          <w:szCs w:val="24"/>
        </w:rPr>
        <w:t xml:space="preserve"> property damage, and was at risk of sexual exploitation through arranging to meet people online and have sex in return for drugs. It was further identified, we are told, that the child had disengaged from services and had previously had restrictions placed on </w:t>
      </w:r>
      <w:r w:rsidR="00E83B51">
        <w:rPr>
          <w:rFonts w:cs="Arial"/>
          <w:color w:val="000000" w:themeColor="text1"/>
          <w:szCs w:val="24"/>
        </w:rPr>
        <w:t>his/</w:t>
      </w:r>
      <w:r w:rsidR="00E628EC">
        <w:rPr>
          <w:rFonts w:cs="Arial"/>
          <w:color w:val="000000" w:themeColor="text1"/>
          <w:szCs w:val="24"/>
        </w:rPr>
        <w:t>her use of social media.</w:t>
      </w:r>
    </w:p>
    <w:p w14:paraId="3C5243B7" w14:textId="77777777" w:rsidR="00FD60C8" w:rsidRDefault="00FD60C8" w:rsidP="00FD60C8">
      <w:pPr>
        <w:pStyle w:val="ListParagraph"/>
        <w:tabs>
          <w:tab w:val="left" w:pos="993"/>
        </w:tabs>
        <w:spacing w:line="288" w:lineRule="auto"/>
        <w:ind w:left="993"/>
        <w:jc w:val="both"/>
        <w:rPr>
          <w:rFonts w:cs="Arial"/>
          <w:color w:val="000000" w:themeColor="text1"/>
          <w:szCs w:val="24"/>
        </w:rPr>
      </w:pPr>
    </w:p>
    <w:p w14:paraId="5AC173B8" w14:textId="611F04AF" w:rsidR="00FD60C8" w:rsidRDefault="00E628EC" w:rsidP="00FD60C8">
      <w:pPr>
        <w:pStyle w:val="ListParagraph"/>
        <w:numPr>
          <w:ilvl w:val="0"/>
          <w:numId w:val="26"/>
        </w:numPr>
        <w:tabs>
          <w:tab w:val="left" w:pos="993"/>
        </w:tabs>
        <w:spacing w:line="288" w:lineRule="auto"/>
        <w:ind w:left="993" w:hanging="567"/>
        <w:jc w:val="both"/>
        <w:rPr>
          <w:rFonts w:cs="Arial"/>
          <w:color w:val="000000" w:themeColor="text1"/>
          <w:szCs w:val="24"/>
        </w:rPr>
      </w:pPr>
      <w:r w:rsidRPr="00FD60C8">
        <w:rPr>
          <w:rFonts w:cs="Arial"/>
          <w:color w:val="000000" w:themeColor="text1"/>
          <w:szCs w:val="24"/>
        </w:rPr>
        <w:t xml:space="preserve">The referral for another child (“Child T”), we are told, indicated that </w:t>
      </w:r>
      <w:r w:rsidR="00E83B51">
        <w:rPr>
          <w:rFonts w:cs="Arial"/>
          <w:color w:val="000000" w:themeColor="text1"/>
          <w:szCs w:val="24"/>
        </w:rPr>
        <w:t>his/</w:t>
      </w:r>
      <w:r w:rsidRPr="00FD60C8">
        <w:rPr>
          <w:rFonts w:cs="Arial"/>
          <w:color w:val="000000" w:themeColor="text1"/>
          <w:szCs w:val="24"/>
        </w:rPr>
        <w:t xml:space="preserve">her previous placement </w:t>
      </w:r>
      <w:r w:rsidR="00FD60C8" w:rsidRPr="00FD60C8">
        <w:rPr>
          <w:rFonts w:cs="Arial"/>
          <w:color w:val="000000" w:themeColor="text1"/>
          <w:szCs w:val="24"/>
        </w:rPr>
        <w:t>had</w:t>
      </w:r>
      <w:r w:rsidRPr="00FD60C8">
        <w:rPr>
          <w:rFonts w:cs="Arial"/>
          <w:color w:val="000000" w:themeColor="text1"/>
          <w:szCs w:val="24"/>
        </w:rPr>
        <w:t xml:space="preserve"> broken down due</w:t>
      </w:r>
      <w:r w:rsidR="00FD60C8" w:rsidRPr="00FD60C8">
        <w:rPr>
          <w:rFonts w:cs="Arial"/>
          <w:color w:val="000000" w:themeColor="text1"/>
          <w:szCs w:val="24"/>
        </w:rPr>
        <w:t xml:space="preserve"> in part</w:t>
      </w:r>
      <w:r w:rsidRPr="00FD60C8">
        <w:rPr>
          <w:rFonts w:cs="Arial"/>
          <w:color w:val="000000" w:themeColor="text1"/>
          <w:szCs w:val="24"/>
        </w:rPr>
        <w:t xml:space="preserve"> to a physical </w:t>
      </w:r>
      <w:r w:rsidR="00FD60C8" w:rsidRPr="00FD60C8">
        <w:rPr>
          <w:rFonts w:cs="Arial"/>
          <w:color w:val="000000" w:themeColor="text1"/>
          <w:szCs w:val="24"/>
        </w:rPr>
        <w:t>altercation with a</w:t>
      </w:r>
      <w:r w:rsidRPr="00FD60C8">
        <w:rPr>
          <w:rFonts w:cs="Arial"/>
          <w:color w:val="000000" w:themeColor="text1"/>
          <w:szCs w:val="24"/>
        </w:rPr>
        <w:t xml:space="preserve"> member of staff</w:t>
      </w:r>
      <w:r w:rsidR="00FD60C8" w:rsidRPr="00FD60C8">
        <w:rPr>
          <w:rFonts w:cs="Arial"/>
          <w:color w:val="000000" w:themeColor="text1"/>
          <w:szCs w:val="24"/>
        </w:rPr>
        <w:t>,</w:t>
      </w:r>
      <w:r w:rsidRPr="00FD60C8">
        <w:rPr>
          <w:rFonts w:cs="Arial"/>
          <w:color w:val="000000" w:themeColor="text1"/>
          <w:szCs w:val="24"/>
        </w:rPr>
        <w:t xml:space="preserve"> and that, in addition, there ha</w:t>
      </w:r>
      <w:r w:rsidR="00FD60C8" w:rsidRPr="00FD60C8">
        <w:rPr>
          <w:rFonts w:cs="Arial"/>
          <w:color w:val="000000" w:themeColor="text1"/>
          <w:szCs w:val="24"/>
        </w:rPr>
        <w:t>d</w:t>
      </w:r>
      <w:r w:rsidRPr="00FD60C8">
        <w:rPr>
          <w:rFonts w:cs="Arial"/>
          <w:color w:val="000000" w:themeColor="text1"/>
          <w:szCs w:val="24"/>
        </w:rPr>
        <w:t xml:space="preserve"> been issues relat</w:t>
      </w:r>
      <w:r w:rsidR="00FD60C8" w:rsidRPr="00FD60C8">
        <w:rPr>
          <w:rFonts w:cs="Arial"/>
          <w:color w:val="000000" w:themeColor="text1"/>
          <w:szCs w:val="24"/>
        </w:rPr>
        <w:t>ing</w:t>
      </w:r>
      <w:r w:rsidRPr="00FD60C8">
        <w:rPr>
          <w:rFonts w:cs="Arial"/>
          <w:color w:val="000000" w:themeColor="text1"/>
          <w:szCs w:val="24"/>
        </w:rPr>
        <w:t xml:space="preserve"> to substance misuse, sexual exploitation, and criminal exploitation, as well as concerns about relationships </w:t>
      </w:r>
      <w:r w:rsidR="00FD60C8" w:rsidRPr="00FD60C8">
        <w:rPr>
          <w:rFonts w:cs="Arial"/>
          <w:color w:val="000000" w:themeColor="text1"/>
          <w:szCs w:val="24"/>
        </w:rPr>
        <w:t>with</w:t>
      </w:r>
      <w:r w:rsidRPr="00FD60C8">
        <w:rPr>
          <w:rFonts w:cs="Arial"/>
          <w:color w:val="000000" w:themeColor="text1"/>
          <w:szCs w:val="24"/>
        </w:rPr>
        <w:t xml:space="preserve"> older people and connections with adults understood to have exploited children.</w:t>
      </w:r>
    </w:p>
    <w:p w14:paraId="04944DD9" w14:textId="77777777" w:rsidR="00FD60C8" w:rsidRPr="00FD60C8" w:rsidRDefault="00FD60C8" w:rsidP="00FD60C8">
      <w:pPr>
        <w:pStyle w:val="ListParagraph"/>
        <w:tabs>
          <w:tab w:val="left" w:pos="993"/>
        </w:tabs>
        <w:spacing w:line="288" w:lineRule="auto"/>
        <w:ind w:left="993"/>
        <w:jc w:val="both"/>
        <w:rPr>
          <w:rFonts w:cs="Arial"/>
          <w:color w:val="000000" w:themeColor="text1"/>
          <w:szCs w:val="24"/>
        </w:rPr>
      </w:pPr>
    </w:p>
    <w:p w14:paraId="26993720" w14:textId="77777777" w:rsidR="00FD60C8" w:rsidRPr="00FD60C8" w:rsidRDefault="00E628EC" w:rsidP="00FD60C8">
      <w:pPr>
        <w:pStyle w:val="ListParagraph"/>
        <w:numPr>
          <w:ilvl w:val="0"/>
          <w:numId w:val="26"/>
        </w:numPr>
        <w:tabs>
          <w:tab w:val="left" w:pos="993"/>
        </w:tabs>
        <w:spacing w:line="288" w:lineRule="auto"/>
        <w:ind w:left="993" w:hanging="567"/>
        <w:jc w:val="both"/>
        <w:rPr>
          <w:rFonts w:cs="Arial"/>
          <w:color w:val="000000" w:themeColor="text1"/>
          <w:szCs w:val="24"/>
        </w:rPr>
      </w:pPr>
      <w:r w:rsidRPr="00FD60C8">
        <w:rPr>
          <w:rFonts w:cs="Arial"/>
          <w:color w:val="000000" w:themeColor="text1"/>
        </w:rPr>
        <w:t>Within the Second Inspection, the evidence indicates</w:t>
      </w:r>
      <w:r w:rsidR="00FD60C8">
        <w:rPr>
          <w:rFonts w:cs="Arial"/>
          <w:color w:val="000000" w:themeColor="text1"/>
        </w:rPr>
        <w:t>,</w:t>
      </w:r>
      <w:r w:rsidRPr="00FD60C8">
        <w:rPr>
          <w:rFonts w:cs="Arial"/>
          <w:color w:val="000000" w:themeColor="text1"/>
        </w:rPr>
        <w:t xml:space="preserve"> discussions were held about the decisions to admit such children. </w:t>
      </w:r>
      <w:r w:rsidR="00FD60C8">
        <w:rPr>
          <w:rFonts w:cs="Arial"/>
          <w:color w:val="000000" w:themeColor="text1"/>
        </w:rPr>
        <w:t>We are told that t</w:t>
      </w:r>
      <w:r w:rsidRPr="00FD60C8">
        <w:rPr>
          <w:rFonts w:cs="Arial"/>
          <w:color w:val="000000" w:themeColor="text1"/>
        </w:rPr>
        <w:t>he registered manager indicated such decision-making was</w:t>
      </w:r>
      <w:r w:rsidR="00FD60C8">
        <w:rPr>
          <w:rFonts w:cs="Arial"/>
          <w:color w:val="000000" w:themeColor="text1"/>
        </w:rPr>
        <w:t>,</w:t>
      </w:r>
      <w:r w:rsidRPr="00FD60C8">
        <w:rPr>
          <w:rFonts w:cs="Arial"/>
          <w:color w:val="000000" w:themeColor="text1"/>
        </w:rPr>
        <w:t xml:space="preserve"> in essence</w:t>
      </w:r>
      <w:r w:rsidR="00FD60C8">
        <w:rPr>
          <w:rFonts w:cs="Arial"/>
          <w:color w:val="000000" w:themeColor="text1"/>
        </w:rPr>
        <w:t>,</w:t>
      </w:r>
      <w:r w:rsidRPr="00FD60C8">
        <w:rPr>
          <w:rFonts w:cs="Arial"/>
          <w:color w:val="000000" w:themeColor="text1"/>
        </w:rPr>
        <w:t xml:space="preserve"> based on whether the team felt it could “work with” the child and that the Appellant had previously accepted children with “far worse profiles”. The manager is said to have acknowledged, however, that the organisation needed to move away from that mindset and instead root such decision-making on principles more consistent with the relevant regulatory scheme. The evidence also indicates that, in </w:t>
      </w:r>
      <w:r w:rsidR="00FD60C8">
        <w:rPr>
          <w:rFonts w:cs="Arial"/>
          <w:color w:val="000000" w:themeColor="text1"/>
        </w:rPr>
        <w:t>a</w:t>
      </w:r>
      <w:r w:rsidRPr="00FD60C8">
        <w:rPr>
          <w:rFonts w:cs="Arial"/>
          <w:color w:val="000000" w:themeColor="text1"/>
        </w:rPr>
        <w:t xml:space="preserve"> discussion about the decision to admit Child T, both the nominated </w:t>
      </w:r>
      <w:r w:rsidRPr="00FD60C8">
        <w:rPr>
          <w:rFonts w:cs="Arial"/>
          <w:color w:val="000000" w:themeColor="text1"/>
        </w:rPr>
        <w:lastRenderedPageBreak/>
        <w:t>individual and the registered manager accepted they should have requested more information from the previous placement provider before reaching a</w:t>
      </w:r>
      <w:r w:rsidR="00FD60C8">
        <w:rPr>
          <w:rFonts w:cs="Arial"/>
          <w:color w:val="000000" w:themeColor="text1"/>
        </w:rPr>
        <w:t>ny</w:t>
      </w:r>
      <w:r w:rsidRPr="00FD60C8">
        <w:rPr>
          <w:rFonts w:cs="Arial"/>
          <w:color w:val="000000" w:themeColor="text1"/>
        </w:rPr>
        <w:t xml:space="preserve"> decision to admit the child. The evidence indicated that the decision was influenced too much by the fact that the child was already known, to some extent, to the organisation.</w:t>
      </w:r>
    </w:p>
    <w:p w14:paraId="27CE72C1" w14:textId="77777777" w:rsidR="00FD60C8" w:rsidRPr="00FD60C8" w:rsidRDefault="00FD60C8" w:rsidP="00FD60C8">
      <w:pPr>
        <w:pStyle w:val="ListParagraph"/>
        <w:tabs>
          <w:tab w:val="left" w:pos="993"/>
        </w:tabs>
        <w:spacing w:line="288" w:lineRule="auto"/>
        <w:ind w:left="993"/>
        <w:jc w:val="both"/>
        <w:rPr>
          <w:rFonts w:cs="Arial"/>
          <w:color w:val="000000" w:themeColor="text1"/>
          <w:szCs w:val="24"/>
        </w:rPr>
      </w:pPr>
    </w:p>
    <w:p w14:paraId="1909C79F" w14:textId="349D42E0" w:rsidR="00E628EC" w:rsidRPr="00FD60C8" w:rsidRDefault="00E628EC" w:rsidP="00FD60C8">
      <w:pPr>
        <w:pStyle w:val="ListParagraph"/>
        <w:numPr>
          <w:ilvl w:val="0"/>
          <w:numId w:val="26"/>
        </w:numPr>
        <w:tabs>
          <w:tab w:val="left" w:pos="993"/>
        </w:tabs>
        <w:spacing w:line="288" w:lineRule="auto"/>
        <w:ind w:left="993" w:hanging="567"/>
        <w:jc w:val="both"/>
        <w:rPr>
          <w:rFonts w:cs="Arial"/>
          <w:color w:val="000000" w:themeColor="text1"/>
          <w:szCs w:val="24"/>
        </w:rPr>
      </w:pPr>
      <w:r w:rsidRPr="00FD60C8">
        <w:rPr>
          <w:rFonts w:cs="Arial"/>
          <w:color w:val="000000" w:themeColor="text1"/>
        </w:rPr>
        <w:t xml:space="preserve">In other words: the evidence indicates that the Appellant may well have still, despite the experience it had gone through with the First Inspection and the regulatory steps which had followed it, been admitting children whose needs were too complex or otherwise inappropriate for supported accommodation. The argument, from the Respondent, is that such children would </w:t>
      </w:r>
      <w:r w:rsidR="00FD60C8">
        <w:rPr>
          <w:rFonts w:cs="Arial"/>
          <w:color w:val="000000" w:themeColor="text1"/>
        </w:rPr>
        <w:t xml:space="preserve">likely </w:t>
      </w:r>
      <w:r w:rsidRPr="00FD60C8">
        <w:rPr>
          <w:rFonts w:cs="Arial"/>
          <w:color w:val="000000" w:themeColor="text1"/>
        </w:rPr>
        <w:t>be placed at risk of harm, as they need additional and/or different support (e.g. by a placement at a children’s home or in a foster family etc).</w:t>
      </w:r>
    </w:p>
    <w:p w14:paraId="743CD986" w14:textId="77777777" w:rsidR="00F91FFC" w:rsidRDefault="00F91FFC" w:rsidP="00F91FFC">
      <w:pPr>
        <w:pStyle w:val="ListParagraph"/>
        <w:tabs>
          <w:tab w:val="left" w:pos="426"/>
        </w:tabs>
        <w:spacing w:line="288" w:lineRule="auto"/>
        <w:ind w:left="426"/>
        <w:jc w:val="both"/>
        <w:rPr>
          <w:rFonts w:cs="Arial"/>
          <w:color w:val="000000" w:themeColor="text1"/>
          <w:szCs w:val="24"/>
        </w:rPr>
      </w:pPr>
    </w:p>
    <w:p w14:paraId="25167F10" w14:textId="4D929951" w:rsidR="00F91FFC" w:rsidRPr="00467EB9" w:rsidRDefault="00FD60C8" w:rsidP="006F3949">
      <w:pPr>
        <w:pStyle w:val="ListParagraph"/>
        <w:numPr>
          <w:ilvl w:val="0"/>
          <w:numId w:val="2"/>
        </w:numPr>
        <w:tabs>
          <w:tab w:val="left" w:pos="426"/>
        </w:tabs>
        <w:spacing w:line="288" w:lineRule="auto"/>
        <w:ind w:left="426" w:hanging="426"/>
        <w:jc w:val="both"/>
        <w:rPr>
          <w:rFonts w:cs="Arial"/>
          <w:color w:val="000000" w:themeColor="text1"/>
          <w:szCs w:val="24"/>
        </w:rPr>
      </w:pPr>
      <w:r>
        <w:rPr>
          <w:rFonts w:cs="Arial"/>
          <w:color w:val="000000" w:themeColor="text1"/>
          <w:szCs w:val="24"/>
        </w:rPr>
        <w:t>M</w:t>
      </w:r>
      <w:r w:rsidR="00F91FFC">
        <w:rPr>
          <w:rFonts w:cs="Arial"/>
          <w:color w:val="000000" w:themeColor="text1"/>
          <w:szCs w:val="24"/>
        </w:rPr>
        <w:t xml:space="preserve">oreover, the concerns arising from the Second inspection were noted limited to referrals/admissions. The evidence indicates that the Respondent had genuine </w:t>
      </w:r>
      <w:r w:rsidR="00F91FFC" w:rsidRPr="00467EB9">
        <w:rPr>
          <w:rFonts w:cs="Arial"/>
          <w:color w:val="000000" w:themeColor="text1"/>
          <w:szCs w:val="24"/>
        </w:rPr>
        <w:t xml:space="preserve">concerns on what </w:t>
      </w:r>
      <w:r>
        <w:rPr>
          <w:rFonts w:cs="Arial"/>
          <w:color w:val="000000" w:themeColor="text1"/>
          <w:szCs w:val="24"/>
        </w:rPr>
        <w:t xml:space="preserve">again </w:t>
      </w:r>
      <w:r w:rsidR="00F91FFC" w:rsidRPr="00467EB9">
        <w:rPr>
          <w:rFonts w:cs="Arial"/>
          <w:color w:val="000000" w:themeColor="text1"/>
          <w:szCs w:val="24"/>
        </w:rPr>
        <w:t xml:space="preserve">appear to us to be reasonable grounds </w:t>
      </w:r>
      <w:r w:rsidR="00CA7EAC">
        <w:rPr>
          <w:rFonts w:cs="Arial"/>
          <w:color w:val="000000" w:themeColor="text1"/>
          <w:szCs w:val="24"/>
        </w:rPr>
        <w:t>in relation to the following beliefs:</w:t>
      </w:r>
    </w:p>
    <w:p w14:paraId="23668F7A" w14:textId="77777777" w:rsidR="00D9136D" w:rsidRDefault="00D9136D" w:rsidP="00D9136D">
      <w:pPr>
        <w:pStyle w:val="ListParagraph"/>
        <w:tabs>
          <w:tab w:val="left" w:pos="993"/>
        </w:tabs>
        <w:spacing w:line="288" w:lineRule="auto"/>
        <w:ind w:left="993"/>
        <w:jc w:val="both"/>
        <w:rPr>
          <w:rFonts w:cs="Arial"/>
          <w:color w:val="000000" w:themeColor="text1"/>
          <w:szCs w:val="24"/>
        </w:rPr>
      </w:pPr>
    </w:p>
    <w:p w14:paraId="35AD6384" w14:textId="6F57AD03" w:rsidR="00F91FFC" w:rsidRPr="00467EB9" w:rsidRDefault="00F91FFC" w:rsidP="00F91FFC">
      <w:pPr>
        <w:pStyle w:val="ListParagraph"/>
        <w:numPr>
          <w:ilvl w:val="0"/>
          <w:numId w:val="24"/>
        </w:numPr>
        <w:tabs>
          <w:tab w:val="left" w:pos="993"/>
        </w:tabs>
        <w:spacing w:line="288" w:lineRule="auto"/>
        <w:ind w:left="993" w:hanging="567"/>
        <w:jc w:val="both"/>
        <w:rPr>
          <w:rFonts w:cs="Arial"/>
          <w:color w:val="000000" w:themeColor="text1"/>
          <w:szCs w:val="24"/>
        </w:rPr>
      </w:pPr>
      <w:r w:rsidRPr="00467EB9">
        <w:rPr>
          <w:rFonts w:cs="Arial"/>
          <w:color w:val="000000" w:themeColor="text1"/>
          <w:szCs w:val="24"/>
        </w:rPr>
        <w:t>Child T was moved into a shared house where</w:t>
      </w:r>
      <w:r w:rsidR="00CA7EAC">
        <w:rPr>
          <w:rFonts w:cs="Arial"/>
          <w:color w:val="000000" w:themeColor="text1"/>
          <w:szCs w:val="24"/>
        </w:rPr>
        <w:t xml:space="preserve"> </w:t>
      </w:r>
      <w:r w:rsidRPr="00467EB9">
        <w:rPr>
          <w:rFonts w:cs="Arial"/>
          <w:color w:val="000000" w:themeColor="text1"/>
          <w:szCs w:val="24"/>
        </w:rPr>
        <w:t>he</w:t>
      </w:r>
      <w:r w:rsidR="00CA7EAC">
        <w:rPr>
          <w:rFonts w:cs="Arial"/>
          <w:color w:val="000000" w:themeColor="text1"/>
          <w:szCs w:val="24"/>
        </w:rPr>
        <w:t xml:space="preserve"> or she</w:t>
      </w:r>
      <w:r w:rsidRPr="00467EB9">
        <w:rPr>
          <w:rFonts w:cs="Arial"/>
          <w:color w:val="000000" w:themeColor="text1"/>
          <w:szCs w:val="24"/>
        </w:rPr>
        <w:t xml:space="preserve"> “smashed up” the property when intoxicated and was </w:t>
      </w:r>
      <w:r w:rsidR="00CA7EAC">
        <w:rPr>
          <w:rFonts w:cs="Arial"/>
          <w:color w:val="000000" w:themeColor="text1"/>
          <w:szCs w:val="24"/>
        </w:rPr>
        <w:t xml:space="preserve">regularly </w:t>
      </w:r>
      <w:r w:rsidRPr="00467EB9">
        <w:rPr>
          <w:rFonts w:cs="Arial"/>
          <w:color w:val="000000" w:themeColor="text1"/>
          <w:szCs w:val="24"/>
        </w:rPr>
        <w:t>“smoking weed”. This may indicate that the Appellant placed children without considering the potential adverse impact on other children, ultimately placing those other children at a heightened level of risk.</w:t>
      </w:r>
    </w:p>
    <w:p w14:paraId="3D2682B9" w14:textId="77777777" w:rsidR="00F91FFC" w:rsidRPr="00467EB9" w:rsidRDefault="00F91FFC" w:rsidP="00F91FFC">
      <w:pPr>
        <w:pStyle w:val="ListParagraph"/>
        <w:tabs>
          <w:tab w:val="left" w:pos="993"/>
        </w:tabs>
        <w:spacing w:line="288" w:lineRule="auto"/>
        <w:ind w:left="993"/>
        <w:jc w:val="both"/>
        <w:rPr>
          <w:rFonts w:cs="Arial"/>
          <w:color w:val="000000" w:themeColor="text1"/>
          <w:szCs w:val="24"/>
        </w:rPr>
      </w:pPr>
    </w:p>
    <w:p w14:paraId="4A78AEF5" w14:textId="419CD3A3" w:rsidR="00F91FFC" w:rsidRPr="00467EB9" w:rsidRDefault="00F91FFC" w:rsidP="00F91FFC">
      <w:pPr>
        <w:pStyle w:val="ListParagraph"/>
        <w:numPr>
          <w:ilvl w:val="0"/>
          <w:numId w:val="24"/>
        </w:numPr>
        <w:tabs>
          <w:tab w:val="left" w:pos="993"/>
        </w:tabs>
        <w:spacing w:line="288" w:lineRule="auto"/>
        <w:ind w:left="993" w:hanging="567"/>
        <w:jc w:val="both"/>
        <w:rPr>
          <w:rFonts w:cs="Arial"/>
          <w:color w:val="000000" w:themeColor="text1"/>
          <w:szCs w:val="24"/>
        </w:rPr>
      </w:pPr>
      <w:r w:rsidRPr="00467EB9">
        <w:rPr>
          <w:rFonts w:cs="Arial"/>
          <w:color w:val="000000" w:themeColor="text1"/>
          <w:szCs w:val="24"/>
        </w:rPr>
        <w:t>Child T was moved into a shared home with Child S, despite the two having similar vulnerabilities</w:t>
      </w:r>
      <w:r w:rsidR="00CA7EAC">
        <w:rPr>
          <w:rFonts w:cs="Arial"/>
          <w:color w:val="000000" w:themeColor="text1"/>
          <w:szCs w:val="24"/>
        </w:rPr>
        <w:t>,</w:t>
      </w:r>
      <w:r w:rsidRPr="00467EB9">
        <w:rPr>
          <w:rFonts w:cs="Arial"/>
          <w:color w:val="000000" w:themeColor="text1"/>
          <w:szCs w:val="24"/>
        </w:rPr>
        <w:t xml:space="preserve"> in a way which placed one or both of them at a heightened level of risk.</w:t>
      </w:r>
    </w:p>
    <w:p w14:paraId="28428DA3" w14:textId="77777777" w:rsidR="00F91FFC" w:rsidRPr="00467EB9" w:rsidRDefault="00F91FFC" w:rsidP="00F91FFC">
      <w:pPr>
        <w:pStyle w:val="ListParagraph"/>
        <w:tabs>
          <w:tab w:val="left" w:pos="993"/>
        </w:tabs>
        <w:spacing w:line="288" w:lineRule="auto"/>
        <w:ind w:left="993"/>
        <w:jc w:val="both"/>
        <w:rPr>
          <w:rFonts w:cs="Arial"/>
          <w:color w:val="000000" w:themeColor="text1"/>
          <w:szCs w:val="24"/>
        </w:rPr>
      </w:pPr>
    </w:p>
    <w:p w14:paraId="6BC8E99C" w14:textId="037E02C9" w:rsidR="00F91FFC" w:rsidRPr="00467EB9" w:rsidRDefault="00F91FFC" w:rsidP="00F91FFC">
      <w:pPr>
        <w:pStyle w:val="ListParagraph"/>
        <w:numPr>
          <w:ilvl w:val="0"/>
          <w:numId w:val="24"/>
        </w:numPr>
        <w:tabs>
          <w:tab w:val="left" w:pos="993"/>
        </w:tabs>
        <w:spacing w:line="288" w:lineRule="auto"/>
        <w:ind w:left="993" w:hanging="567"/>
        <w:jc w:val="both"/>
        <w:rPr>
          <w:rFonts w:cs="Arial"/>
          <w:color w:val="000000" w:themeColor="text1"/>
          <w:szCs w:val="24"/>
        </w:rPr>
      </w:pPr>
      <w:r w:rsidRPr="00467EB9">
        <w:rPr>
          <w:rFonts w:cs="Arial"/>
          <w:color w:val="000000" w:themeColor="text1"/>
          <w:szCs w:val="24"/>
        </w:rPr>
        <w:t xml:space="preserve">Child S was hospitalised due to intoxication and/or an associated collapse. Moreover, the Respondent was not notified of that </w:t>
      </w:r>
      <w:r w:rsidR="00CA7EAC">
        <w:rPr>
          <w:rFonts w:cs="Arial"/>
          <w:color w:val="000000" w:themeColor="text1"/>
          <w:szCs w:val="24"/>
        </w:rPr>
        <w:t>as</w:t>
      </w:r>
      <w:r w:rsidRPr="00467EB9">
        <w:rPr>
          <w:rFonts w:cs="Arial"/>
          <w:color w:val="000000" w:themeColor="text1"/>
          <w:szCs w:val="24"/>
        </w:rPr>
        <w:t xml:space="preserve"> required. Further, there was no </w:t>
      </w:r>
      <w:r w:rsidR="00CA7EAC">
        <w:rPr>
          <w:rFonts w:cs="Arial"/>
          <w:color w:val="000000" w:themeColor="text1"/>
          <w:szCs w:val="24"/>
        </w:rPr>
        <w:t>(</w:t>
      </w:r>
      <w:r w:rsidRPr="00467EB9">
        <w:rPr>
          <w:rFonts w:cs="Arial"/>
          <w:color w:val="000000" w:themeColor="text1"/>
          <w:szCs w:val="24"/>
        </w:rPr>
        <w:t xml:space="preserve">or </w:t>
      </w:r>
      <w:r w:rsidR="00CA7EAC">
        <w:rPr>
          <w:rFonts w:cs="Arial"/>
          <w:color w:val="000000" w:themeColor="text1"/>
          <w:szCs w:val="24"/>
        </w:rPr>
        <w:t xml:space="preserve">no </w:t>
      </w:r>
      <w:r w:rsidRPr="00467EB9">
        <w:rPr>
          <w:rFonts w:cs="Arial"/>
          <w:color w:val="000000" w:themeColor="text1"/>
          <w:szCs w:val="24"/>
        </w:rPr>
        <w:t>sufficient</w:t>
      </w:r>
      <w:r w:rsidR="00CA7EAC">
        <w:rPr>
          <w:rFonts w:cs="Arial"/>
          <w:color w:val="000000" w:themeColor="text1"/>
          <w:szCs w:val="24"/>
        </w:rPr>
        <w:t>)</w:t>
      </w:r>
      <w:r w:rsidRPr="00467EB9">
        <w:rPr>
          <w:rFonts w:cs="Arial"/>
          <w:color w:val="000000" w:themeColor="text1"/>
          <w:szCs w:val="24"/>
        </w:rPr>
        <w:t xml:space="preserve"> evidence of any </w:t>
      </w:r>
      <w:r w:rsidR="00CA7EAC">
        <w:rPr>
          <w:rFonts w:cs="Arial"/>
          <w:color w:val="000000" w:themeColor="text1"/>
          <w:szCs w:val="24"/>
        </w:rPr>
        <w:t>(</w:t>
      </w:r>
      <w:r w:rsidRPr="00467EB9">
        <w:rPr>
          <w:rFonts w:cs="Arial"/>
          <w:color w:val="000000" w:themeColor="text1"/>
          <w:szCs w:val="24"/>
        </w:rPr>
        <w:t>or any sufficient</w:t>
      </w:r>
      <w:r w:rsidR="00CA7EAC">
        <w:rPr>
          <w:rFonts w:cs="Arial"/>
          <w:color w:val="000000" w:themeColor="text1"/>
          <w:szCs w:val="24"/>
        </w:rPr>
        <w:t>)</w:t>
      </w:r>
      <w:r w:rsidRPr="00467EB9">
        <w:rPr>
          <w:rFonts w:cs="Arial"/>
          <w:color w:val="000000" w:themeColor="text1"/>
          <w:szCs w:val="24"/>
        </w:rPr>
        <w:t xml:space="preserve"> support work in relation to the matter.</w:t>
      </w:r>
    </w:p>
    <w:p w14:paraId="3B8E224D" w14:textId="77777777" w:rsidR="00D9136D" w:rsidRDefault="00D9136D" w:rsidP="00D9136D">
      <w:pPr>
        <w:pStyle w:val="ListParagraph"/>
        <w:tabs>
          <w:tab w:val="left" w:pos="993"/>
        </w:tabs>
        <w:spacing w:line="288" w:lineRule="auto"/>
        <w:ind w:left="993"/>
        <w:jc w:val="both"/>
        <w:rPr>
          <w:rFonts w:cs="Arial"/>
          <w:color w:val="000000" w:themeColor="text1"/>
          <w:szCs w:val="24"/>
        </w:rPr>
      </w:pPr>
    </w:p>
    <w:p w14:paraId="42F10A78" w14:textId="01D0BDA1" w:rsidR="00F91FFC" w:rsidRPr="00467EB9" w:rsidRDefault="00F91FFC" w:rsidP="00F91FFC">
      <w:pPr>
        <w:pStyle w:val="ListParagraph"/>
        <w:numPr>
          <w:ilvl w:val="0"/>
          <w:numId w:val="24"/>
        </w:numPr>
        <w:tabs>
          <w:tab w:val="left" w:pos="993"/>
        </w:tabs>
        <w:spacing w:line="288" w:lineRule="auto"/>
        <w:ind w:left="993" w:hanging="567"/>
        <w:jc w:val="both"/>
        <w:rPr>
          <w:rFonts w:cs="Arial"/>
          <w:color w:val="000000" w:themeColor="text1"/>
          <w:szCs w:val="24"/>
        </w:rPr>
      </w:pPr>
      <w:r w:rsidRPr="00467EB9">
        <w:rPr>
          <w:rFonts w:cs="Arial"/>
          <w:color w:val="000000" w:themeColor="text1"/>
          <w:szCs w:val="24"/>
        </w:rPr>
        <w:t xml:space="preserve">One child admitted since the First Inspection had a history of going missing from home. The decision to admit that </w:t>
      </w:r>
      <w:r w:rsidR="00CA7EAC">
        <w:rPr>
          <w:rFonts w:cs="Arial"/>
          <w:color w:val="000000" w:themeColor="text1"/>
          <w:szCs w:val="24"/>
        </w:rPr>
        <w:t>child</w:t>
      </w:r>
      <w:r w:rsidRPr="00467EB9">
        <w:rPr>
          <w:rFonts w:cs="Arial"/>
          <w:color w:val="000000" w:themeColor="text1"/>
          <w:szCs w:val="24"/>
        </w:rPr>
        <w:t xml:space="preserve"> gives rise to specific concerns given that the Guide states: “We expect that it would not be appropriate for young people who are known to be at risk of going missing or frequently go missing to be placed in supported accommodation as their needs are such that they would likely require a greater level of care and supervision”.</w:t>
      </w:r>
    </w:p>
    <w:p w14:paraId="1B420466" w14:textId="77777777" w:rsidR="00D9136D" w:rsidRDefault="00D9136D" w:rsidP="00D9136D">
      <w:pPr>
        <w:pStyle w:val="ListParagraph"/>
        <w:tabs>
          <w:tab w:val="left" w:pos="993"/>
        </w:tabs>
        <w:spacing w:line="288" w:lineRule="auto"/>
        <w:ind w:left="993"/>
        <w:jc w:val="both"/>
        <w:rPr>
          <w:rFonts w:cs="Arial"/>
          <w:color w:val="000000" w:themeColor="text1"/>
          <w:szCs w:val="24"/>
        </w:rPr>
      </w:pPr>
    </w:p>
    <w:p w14:paraId="47498BA4" w14:textId="55438B40" w:rsidR="00F91FFC" w:rsidRPr="00467EB9" w:rsidRDefault="00F91FFC" w:rsidP="00F91FFC">
      <w:pPr>
        <w:pStyle w:val="ListParagraph"/>
        <w:numPr>
          <w:ilvl w:val="0"/>
          <w:numId w:val="24"/>
        </w:numPr>
        <w:tabs>
          <w:tab w:val="left" w:pos="993"/>
        </w:tabs>
        <w:spacing w:line="288" w:lineRule="auto"/>
        <w:ind w:left="993" w:hanging="567"/>
        <w:jc w:val="both"/>
        <w:rPr>
          <w:rFonts w:cs="Arial"/>
          <w:color w:val="000000" w:themeColor="text1"/>
          <w:szCs w:val="24"/>
        </w:rPr>
      </w:pPr>
      <w:r w:rsidRPr="00467EB9">
        <w:rPr>
          <w:rFonts w:cs="Arial"/>
          <w:color w:val="000000" w:themeColor="text1"/>
          <w:szCs w:val="24"/>
        </w:rPr>
        <w:t xml:space="preserve">The Respondent was not notified of a child protection enquiry being </w:t>
      </w:r>
      <w:r w:rsidRPr="00467EB9">
        <w:rPr>
          <w:rFonts w:cs="Arial"/>
          <w:color w:val="000000" w:themeColor="text1"/>
          <w:szCs w:val="24"/>
        </w:rPr>
        <w:lastRenderedPageBreak/>
        <w:t>instigated for Child T.</w:t>
      </w:r>
    </w:p>
    <w:p w14:paraId="180A113A" w14:textId="77777777" w:rsidR="00D9136D" w:rsidRDefault="00D9136D" w:rsidP="00D9136D">
      <w:pPr>
        <w:pStyle w:val="ListParagraph"/>
        <w:tabs>
          <w:tab w:val="left" w:pos="993"/>
        </w:tabs>
        <w:spacing w:line="288" w:lineRule="auto"/>
        <w:ind w:left="993"/>
        <w:jc w:val="both"/>
        <w:rPr>
          <w:rFonts w:cs="Arial"/>
          <w:color w:val="000000" w:themeColor="text1"/>
          <w:szCs w:val="24"/>
        </w:rPr>
      </w:pPr>
    </w:p>
    <w:p w14:paraId="009C8712" w14:textId="5243079D" w:rsidR="00F91FFC" w:rsidRPr="00467EB9" w:rsidRDefault="00F91FFC" w:rsidP="00F91FFC">
      <w:pPr>
        <w:pStyle w:val="ListParagraph"/>
        <w:numPr>
          <w:ilvl w:val="0"/>
          <w:numId w:val="24"/>
        </w:numPr>
        <w:tabs>
          <w:tab w:val="left" w:pos="993"/>
        </w:tabs>
        <w:spacing w:line="288" w:lineRule="auto"/>
        <w:ind w:left="993" w:hanging="567"/>
        <w:jc w:val="both"/>
        <w:rPr>
          <w:rFonts w:cs="Arial"/>
          <w:color w:val="000000" w:themeColor="text1"/>
          <w:szCs w:val="24"/>
        </w:rPr>
      </w:pPr>
      <w:r w:rsidRPr="00467EB9">
        <w:rPr>
          <w:rFonts w:cs="Arial"/>
          <w:color w:val="000000" w:themeColor="text1"/>
          <w:szCs w:val="24"/>
        </w:rPr>
        <w:t>Children received emergency food while in the service and in circumstances where, it appeared, those children were using their allowance to buy drugs</w:t>
      </w:r>
      <w:r w:rsidR="00CA7EAC">
        <w:rPr>
          <w:rFonts w:cs="Arial"/>
          <w:color w:val="000000" w:themeColor="text1"/>
          <w:szCs w:val="24"/>
        </w:rPr>
        <w:t xml:space="preserve"> or other unjustified things</w:t>
      </w:r>
      <w:r w:rsidRPr="00467EB9">
        <w:rPr>
          <w:rFonts w:cs="Arial"/>
          <w:color w:val="000000" w:themeColor="text1"/>
          <w:szCs w:val="24"/>
        </w:rPr>
        <w:t xml:space="preserve">. </w:t>
      </w:r>
      <w:r w:rsidR="00CA7EAC">
        <w:rPr>
          <w:rFonts w:cs="Arial"/>
          <w:color w:val="000000" w:themeColor="text1"/>
          <w:szCs w:val="24"/>
        </w:rPr>
        <w:t>Again, t</w:t>
      </w:r>
      <w:r w:rsidRPr="00467EB9">
        <w:rPr>
          <w:rFonts w:cs="Arial"/>
          <w:color w:val="000000" w:themeColor="text1"/>
          <w:szCs w:val="24"/>
        </w:rPr>
        <w:t xml:space="preserve">here was no </w:t>
      </w:r>
      <w:r w:rsidR="00CA7EAC">
        <w:rPr>
          <w:rFonts w:cs="Arial"/>
          <w:color w:val="000000" w:themeColor="text1"/>
          <w:szCs w:val="24"/>
        </w:rPr>
        <w:t>(</w:t>
      </w:r>
      <w:r w:rsidRPr="00467EB9">
        <w:rPr>
          <w:rFonts w:cs="Arial"/>
          <w:color w:val="000000" w:themeColor="text1"/>
          <w:szCs w:val="24"/>
        </w:rPr>
        <w:t>or no sufficient</w:t>
      </w:r>
      <w:r w:rsidR="00CA7EAC">
        <w:rPr>
          <w:rFonts w:cs="Arial"/>
          <w:color w:val="000000" w:themeColor="text1"/>
          <w:szCs w:val="24"/>
        </w:rPr>
        <w:t>)</w:t>
      </w:r>
      <w:r w:rsidRPr="00467EB9">
        <w:rPr>
          <w:rFonts w:cs="Arial"/>
          <w:color w:val="000000" w:themeColor="text1"/>
          <w:szCs w:val="24"/>
        </w:rPr>
        <w:t xml:space="preserve"> evidence of any </w:t>
      </w:r>
      <w:r w:rsidR="00CA7EAC">
        <w:rPr>
          <w:rFonts w:cs="Arial"/>
          <w:color w:val="000000" w:themeColor="text1"/>
          <w:szCs w:val="24"/>
        </w:rPr>
        <w:t>(</w:t>
      </w:r>
      <w:r w:rsidRPr="00467EB9">
        <w:rPr>
          <w:rFonts w:cs="Arial"/>
          <w:color w:val="000000" w:themeColor="text1"/>
          <w:szCs w:val="24"/>
        </w:rPr>
        <w:t>or any sufficient</w:t>
      </w:r>
      <w:r w:rsidR="00CA7EAC">
        <w:rPr>
          <w:rFonts w:cs="Arial"/>
          <w:color w:val="000000" w:themeColor="text1"/>
          <w:szCs w:val="24"/>
        </w:rPr>
        <w:t>)</w:t>
      </w:r>
      <w:r w:rsidRPr="00467EB9">
        <w:rPr>
          <w:rFonts w:cs="Arial"/>
          <w:color w:val="000000" w:themeColor="text1"/>
          <w:szCs w:val="24"/>
        </w:rPr>
        <w:t xml:space="preserve"> support provided in relation to money management or education about substance abuse.</w:t>
      </w:r>
    </w:p>
    <w:p w14:paraId="6C904865" w14:textId="77777777" w:rsidR="00D9136D" w:rsidRDefault="00D9136D" w:rsidP="00D9136D">
      <w:pPr>
        <w:pStyle w:val="ListParagraph"/>
        <w:tabs>
          <w:tab w:val="left" w:pos="993"/>
        </w:tabs>
        <w:spacing w:line="288" w:lineRule="auto"/>
        <w:ind w:left="993"/>
        <w:jc w:val="both"/>
        <w:rPr>
          <w:rFonts w:cs="Arial"/>
          <w:color w:val="000000" w:themeColor="text1"/>
          <w:szCs w:val="24"/>
        </w:rPr>
      </w:pPr>
    </w:p>
    <w:p w14:paraId="5B251BF8" w14:textId="5958E8CD" w:rsidR="00F91FFC" w:rsidRPr="00467EB9" w:rsidRDefault="00F91FFC" w:rsidP="00F91FFC">
      <w:pPr>
        <w:pStyle w:val="ListParagraph"/>
        <w:numPr>
          <w:ilvl w:val="0"/>
          <w:numId w:val="24"/>
        </w:numPr>
        <w:tabs>
          <w:tab w:val="left" w:pos="993"/>
        </w:tabs>
        <w:spacing w:line="288" w:lineRule="auto"/>
        <w:ind w:left="993" w:hanging="567"/>
        <w:jc w:val="both"/>
        <w:rPr>
          <w:rFonts w:cs="Arial"/>
          <w:color w:val="000000" w:themeColor="text1"/>
          <w:szCs w:val="24"/>
        </w:rPr>
      </w:pPr>
      <w:r w:rsidRPr="00467EB9">
        <w:rPr>
          <w:rFonts w:cs="Arial"/>
          <w:color w:val="000000" w:themeColor="text1"/>
          <w:szCs w:val="24"/>
        </w:rPr>
        <w:t xml:space="preserve">Another child (“Child F”) was hospitalised through intoxication after </w:t>
      </w:r>
      <w:r w:rsidR="00CA7EAC">
        <w:rPr>
          <w:rFonts w:cs="Arial"/>
          <w:color w:val="000000" w:themeColor="text1"/>
          <w:szCs w:val="24"/>
        </w:rPr>
        <w:t>he or she</w:t>
      </w:r>
      <w:r w:rsidRPr="00467EB9">
        <w:rPr>
          <w:rFonts w:cs="Arial"/>
          <w:color w:val="000000" w:themeColor="text1"/>
          <w:szCs w:val="24"/>
        </w:rPr>
        <w:t xml:space="preserve"> collapsed in a park.</w:t>
      </w:r>
      <w:r w:rsidR="00BE4E6B" w:rsidRPr="00467EB9">
        <w:rPr>
          <w:rFonts w:cs="Arial"/>
          <w:color w:val="000000" w:themeColor="text1"/>
          <w:szCs w:val="24"/>
        </w:rPr>
        <w:t xml:space="preserve"> Again, the Respondent was not notified of that incident.</w:t>
      </w:r>
    </w:p>
    <w:p w14:paraId="1C1B4782" w14:textId="77777777" w:rsidR="00D9136D" w:rsidRDefault="00D9136D" w:rsidP="00D9136D">
      <w:pPr>
        <w:pStyle w:val="ListParagraph"/>
        <w:tabs>
          <w:tab w:val="left" w:pos="993"/>
        </w:tabs>
        <w:spacing w:line="288" w:lineRule="auto"/>
        <w:ind w:left="993"/>
        <w:jc w:val="both"/>
        <w:rPr>
          <w:rFonts w:cs="Arial"/>
          <w:color w:val="000000" w:themeColor="text1"/>
          <w:szCs w:val="24"/>
        </w:rPr>
      </w:pPr>
    </w:p>
    <w:p w14:paraId="4A2DA259" w14:textId="010C2094" w:rsidR="00BE4E6B" w:rsidRPr="00467EB9" w:rsidRDefault="00BE4E6B" w:rsidP="00F91FFC">
      <w:pPr>
        <w:pStyle w:val="ListParagraph"/>
        <w:numPr>
          <w:ilvl w:val="0"/>
          <w:numId w:val="24"/>
        </w:numPr>
        <w:tabs>
          <w:tab w:val="left" w:pos="993"/>
        </w:tabs>
        <w:spacing w:line="288" w:lineRule="auto"/>
        <w:ind w:left="993" w:hanging="567"/>
        <w:jc w:val="both"/>
        <w:rPr>
          <w:rFonts w:cs="Arial"/>
          <w:color w:val="000000" w:themeColor="text1"/>
          <w:szCs w:val="24"/>
        </w:rPr>
      </w:pPr>
      <w:r w:rsidRPr="00467EB9">
        <w:rPr>
          <w:rFonts w:cs="Arial"/>
          <w:color w:val="000000" w:themeColor="text1"/>
          <w:szCs w:val="24"/>
        </w:rPr>
        <w:t>The Appellant had not informed the local authorit</w:t>
      </w:r>
      <w:r w:rsidR="00CA7EAC">
        <w:rPr>
          <w:rFonts w:cs="Arial"/>
          <w:color w:val="000000" w:themeColor="text1"/>
          <w:szCs w:val="24"/>
        </w:rPr>
        <w:t>y</w:t>
      </w:r>
      <w:r w:rsidRPr="00467EB9">
        <w:rPr>
          <w:rFonts w:cs="Arial"/>
          <w:color w:val="000000" w:themeColor="text1"/>
          <w:szCs w:val="24"/>
        </w:rPr>
        <w:t xml:space="preserve"> </w:t>
      </w:r>
      <w:r w:rsidR="00CA7EAC">
        <w:rPr>
          <w:rFonts w:cs="Arial"/>
          <w:color w:val="000000" w:themeColor="text1"/>
          <w:szCs w:val="24"/>
        </w:rPr>
        <w:t>that</w:t>
      </w:r>
      <w:r w:rsidRPr="00467EB9">
        <w:rPr>
          <w:rFonts w:cs="Arial"/>
          <w:color w:val="000000" w:themeColor="text1"/>
          <w:szCs w:val="24"/>
        </w:rPr>
        <w:t xml:space="preserve"> a child</w:t>
      </w:r>
      <w:r w:rsidR="00CA7EAC">
        <w:rPr>
          <w:rFonts w:cs="Arial"/>
          <w:color w:val="000000" w:themeColor="text1"/>
          <w:szCs w:val="24"/>
        </w:rPr>
        <w:t xml:space="preserve"> had</w:t>
      </w:r>
      <w:r w:rsidRPr="00467EB9">
        <w:rPr>
          <w:rFonts w:cs="Arial"/>
          <w:color w:val="000000" w:themeColor="text1"/>
          <w:szCs w:val="24"/>
        </w:rPr>
        <w:t xml:space="preserve"> reported to them that </w:t>
      </w:r>
      <w:r w:rsidR="00CA7EAC">
        <w:rPr>
          <w:rFonts w:cs="Arial"/>
          <w:color w:val="000000" w:themeColor="text1"/>
          <w:szCs w:val="24"/>
        </w:rPr>
        <w:t>he or she</w:t>
      </w:r>
      <w:r w:rsidRPr="00467EB9">
        <w:rPr>
          <w:rFonts w:cs="Arial"/>
          <w:color w:val="000000" w:themeColor="text1"/>
          <w:szCs w:val="24"/>
        </w:rPr>
        <w:t xml:space="preserve"> had been verbally abused by member of staff. That may have prevented the local authority </w:t>
      </w:r>
      <w:r w:rsidR="00CA7EAC">
        <w:rPr>
          <w:rFonts w:cs="Arial"/>
          <w:color w:val="000000" w:themeColor="text1"/>
          <w:szCs w:val="24"/>
        </w:rPr>
        <w:t>from</w:t>
      </w:r>
      <w:r w:rsidRPr="00467EB9">
        <w:rPr>
          <w:rFonts w:cs="Arial"/>
          <w:color w:val="000000" w:themeColor="text1"/>
          <w:szCs w:val="24"/>
        </w:rPr>
        <w:t xml:space="preserve"> having effective oversight of the matter at the relevant time.</w:t>
      </w:r>
    </w:p>
    <w:p w14:paraId="6BB6E68C" w14:textId="77777777" w:rsidR="006F3949" w:rsidRPr="00D9136D" w:rsidRDefault="006F3949" w:rsidP="00BE4E6B">
      <w:pPr>
        <w:tabs>
          <w:tab w:val="left" w:pos="426"/>
        </w:tabs>
        <w:spacing w:line="288" w:lineRule="auto"/>
        <w:jc w:val="both"/>
        <w:rPr>
          <w:rFonts w:cs="Arial"/>
          <w:color w:val="000000" w:themeColor="text1"/>
          <w:sz w:val="24"/>
        </w:rPr>
      </w:pPr>
    </w:p>
    <w:p w14:paraId="3541F238" w14:textId="22B8C562" w:rsidR="00BE4E6B" w:rsidRPr="00D9136D" w:rsidRDefault="00BE4E6B" w:rsidP="00BE4E6B">
      <w:pPr>
        <w:tabs>
          <w:tab w:val="left" w:pos="426"/>
        </w:tabs>
        <w:spacing w:line="288" w:lineRule="auto"/>
        <w:jc w:val="both"/>
        <w:rPr>
          <w:rFonts w:cs="Arial"/>
          <w:i/>
          <w:iCs/>
          <w:color w:val="000000" w:themeColor="text1"/>
          <w:sz w:val="24"/>
        </w:rPr>
      </w:pPr>
      <w:r w:rsidRPr="00D9136D">
        <w:rPr>
          <w:rFonts w:cs="Arial"/>
          <w:i/>
          <w:iCs/>
          <w:color w:val="000000" w:themeColor="text1"/>
          <w:sz w:val="24"/>
        </w:rPr>
        <w:t>The Decision</w:t>
      </w:r>
    </w:p>
    <w:p w14:paraId="59C80406" w14:textId="77777777" w:rsidR="00BE4E6B" w:rsidRPr="00D9136D" w:rsidRDefault="00BE4E6B" w:rsidP="00BE4E6B">
      <w:pPr>
        <w:tabs>
          <w:tab w:val="left" w:pos="426"/>
        </w:tabs>
        <w:spacing w:line="288" w:lineRule="auto"/>
        <w:jc w:val="both"/>
        <w:rPr>
          <w:rFonts w:cs="Arial"/>
          <w:color w:val="000000" w:themeColor="text1"/>
          <w:sz w:val="24"/>
        </w:rPr>
      </w:pPr>
    </w:p>
    <w:p w14:paraId="64A9A5E8" w14:textId="4F1E7DC1" w:rsidR="00BE4E6B" w:rsidRPr="00467EB9" w:rsidRDefault="00BE4E6B" w:rsidP="00BE4E6B">
      <w:pPr>
        <w:pStyle w:val="ListParagraph"/>
        <w:numPr>
          <w:ilvl w:val="0"/>
          <w:numId w:val="2"/>
        </w:numPr>
        <w:tabs>
          <w:tab w:val="left" w:pos="426"/>
        </w:tabs>
        <w:spacing w:line="288" w:lineRule="auto"/>
        <w:ind w:left="426" w:hanging="426"/>
        <w:jc w:val="both"/>
        <w:rPr>
          <w:rFonts w:cs="Arial"/>
          <w:color w:val="000000" w:themeColor="text1"/>
          <w:szCs w:val="24"/>
        </w:rPr>
      </w:pPr>
      <w:r w:rsidRPr="00467EB9">
        <w:rPr>
          <w:rFonts w:cs="Arial"/>
          <w:color w:val="000000" w:themeColor="text1"/>
          <w:szCs w:val="24"/>
        </w:rPr>
        <w:t>The above</w:t>
      </w:r>
      <w:r w:rsidR="00CA7EAC">
        <w:rPr>
          <w:rFonts w:cs="Arial"/>
          <w:color w:val="000000" w:themeColor="text1"/>
          <w:szCs w:val="24"/>
        </w:rPr>
        <w:t xml:space="preserve"> matters</w:t>
      </w:r>
      <w:r w:rsidRPr="00467EB9">
        <w:rPr>
          <w:rFonts w:cs="Arial"/>
          <w:color w:val="000000" w:themeColor="text1"/>
          <w:szCs w:val="24"/>
        </w:rPr>
        <w:t xml:space="preserve"> led to the Respondent forming a view that the Appellant’s leadership/management did not have effective oversight of the service; that, among other things, they </w:t>
      </w:r>
      <w:r w:rsidR="00CA7EAC">
        <w:rPr>
          <w:rFonts w:cs="Arial"/>
          <w:color w:val="000000" w:themeColor="text1"/>
          <w:szCs w:val="24"/>
        </w:rPr>
        <w:t>were</w:t>
      </w:r>
      <w:r w:rsidRPr="00467EB9">
        <w:rPr>
          <w:rFonts w:cs="Arial"/>
          <w:color w:val="000000" w:themeColor="text1"/>
          <w:szCs w:val="24"/>
        </w:rPr>
        <w:t xml:space="preserve"> fail</w:t>
      </w:r>
      <w:r w:rsidR="00CA7EAC">
        <w:rPr>
          <w:rFonts w:cs="Arial"/>
          <w:color w:val="000000" w:themeColor="text1"/>
          <w:szCs w:val="24"/>
        </w:rPr>
        <w:t>ing</w:t>
      </w:r>
      <w:r w:rsidRPr="00467EB9">
        <w:rPr>
          <w:rFonts w:cs="Arial"/>
          <w:color w:val="000000" w:themeColor="text1"/>
          <w:szCs w:val="24"/>
        </w:rPr>
        <w:t xml:space="preserve"> to identify</w:t>
      </w:r>
      <w:r w:rsidR="00CA7EAC">
        <w:rPr>
          <w:rFonts w:cs="Arial"/>
          <w:color w:val="000000" w:themeColor="text1"/>
          <w:szCs w:val="24"/>
        </w:rPr>
        <w:t xml:space="preserve"> and remedy</w:t>
      </w:r>
      <w:r w:rsidRPr="00467EB9">
        <w:rPr>
          <w:rFonts w:cs="Arial"/>
          <w:color w:val="000000" w:themeColor="text1"/>
          <w:szCs w:val="24"/>
        </w:rPr>
        <w:t xml:space="preserve"> weaknesses in the admission process, children’s plans, support work, and the requirement to submit notifications of serious incidents. There was a risk, in its view, that i</w:t>
      </w:r>
      <w:r w:rsidR="00CA7EAC">
        <w:rPr>
          <w:rFonts w:cs="Arial"/>
          <w:color w:val="000000" w:themeColor="text1"/>
          <w:szCs w:val="24"/>
        </w:rPr>
        <w:t>f</w:t>
      </w:r>
      <w:r w:rsidRPr="00467EB9">
        <w:rPr>
          <w:rFonts w:cs="Arial"/>
          <w:color w:val="000000" w:themeColor="text1"/>
          <w:szCs w:val="24"/>
        </w:rPr>
        <w:t xml:space="preserve"> allowed to accept further admissions, there would be a risk of harm to those children</w:t>
      </w:r>
      <w:r w:rsidR="00CA7EAC">
        <w:rPr>
          <w:rFonts w:cs="Arial"/>
          <w:color w:val="000000" w:themeColor="text1"/>
          <w:szCs w:val="24"/>
        </w:rPr>
        <w:t>,</w:t>
      </w:r>
      <w:r w:rsidRPr="00467EB9">
        <w:rPr>
          <w:rFonts w:cs="Arial"/>
          <w:color w:val="000000" w:themeColor="text1"/>
          <w:szCs w:val="24"/>
        </w:rPr>
        <w:t xml:space="preserve"> and also to the children already accommodate</w:t>
      </w:r>
      <w:r w:rsidR="00CA7EAC">
        <w:rPr>
          <w:rFonts w:cs="Arial"/>
          <w:color w:val="000000" w:themeColor="text1"/>
          <w:szCs w:val="24"/>
        </w:rPr>
        <w:t>d</w:t>
      </w:r>
      <w:r w:rsidRPr="00467EB9">
        <w:rPr>
          <w:rFonts w:cs="Arial"/>
          <w:color w:val="000000" w:themeColor="text1"/>
          <w:szCs w:val="24"/>
        </w:rPr>
        <w:t xml:space="preserve">. </w:t>
      </w:r>
      <w:r w:rsidR="00CA7EAC">
        <w:rPr>
          <w:rFonts w:cs="Arial"/>
          <w:color w:val="000000" w:themeColor="text1"/>
          <w:szCs w:val="24"/>
        </w:rPr>
        <w:t>T</w:t>
      </w:r>
      <w:r w:rsidRPr="00467EB9">
        <w:rPr>
          <w:rFonts w:cs="Arial"/>
          <w:color w:val="000000" w:themeColor="text1"/>
          <w:szCs w:val="24"/>
        </w:rPr>
        <w:t>he Respondent concluded</w:t>
      </w:r>
      <w:r w:rsidR="00CA7EAC">
        <w:rPr>
          <w:rFonts w:cs="Arial"/>
          <w:color w:val="000000" w:themeColor="text1"/>
          <w:szCs w:val="24"/>
        </w:rPr>
        <w:t xml:space="preserve"> that</w:t>
      </w:r>
      <w:r w:rsidRPr="00467EB9">
        <w:rPr>
          <w:rFonts w:cs="Arial"/>
          <w:color w:val="000000" w:themeColor="text1"/>
          <w:szCs w:val="24"/>
        </w:rPr>
        <w:t xml:space="preserve"> the Notice was required, until the provider </w:t>
      </w:r>
      <w:r w:rsidR="00CA7EAC">
        <w:rPr>
          <w:rFonts w:cs="Arial"/>
          <w:color w:val="000000" w:themeColor="text1"/>
          <w:szCs w:val="24"/>
        </w:rPr>
        <w:t>was/is able to</w:t>
      </w:r>
      <w:r w:rsidRPr="00467EB9">
        <w:rPr>
          <w:rFonts w:cs="Arial"/>
          <w:color w:val="000000" w:themeColor="text1"/>
          <w:szCs w:val="24"/>
        </w:rPr>
        <w:t xml:space="preserve"> demonstrate it understands sufficiently the regulatory framework for supported accommodation and </w:t>
      </w:r>
      <w:r w:rsidR="00CA7EAC">
        <w:rPr>
          <w:rFonts w:cs="Arial"/>
          <w:color w:val="000000" w:themeColor="text1"/>
          <w:szCs w:val="24"/>
        </w:rPr>
        <w:t>is both willing and able to</w:t>
      </w:r>
      <w:r w:rsidRPr="00467EB9">
        <w:rPr>
          <w:rFonts w:cs="Arial"/>
          <w:color w:val="000000" w:themeColor="text1"/>
          <w:szCs w:val="24"/>
        </w:rPr>
        <w:t xml:space="preserve"> apply it in practice.</w:t>
      </w:r>
    </w:p>
    <w:p w14:paraId="1521B7CD" w14:textId="77777777" w:rsidR="00BE4E6B" w:rsidRPr="00467EB9" w:rsidRDefault="00BE4E6B" w:rsidP="00BE4E6B">
      <w:pPr>
        <w:pStyle w:val="ListParagraph"/>
        <w:tabs>
          <w:tab w:val="left" w:pos="426"/>
        </w:tabs>
        <w:spacing w:line="288" w:lineRule="auto"/>
        <w:ind w:left="426"/>
        <w:jc w:val="both"/>
        <w:rPr>
          <w:rFonts w:cs="Arial"/>
          <w:color w:val="000000" w:themeColor="text1"/>
          <w:szCs w:val="24"/>
        </w:rPr>
      </w:pPr>
    </w:p>
    <w:p w14:paraId="2FA7EEA8" w14:textId="4D6253E4" w:rsidR="00BE4E6B" w:rsidRPr="00467EB9" w:rsidRDefault="00BE4E6B" w:rsidP="00BE4E6B">
      <w:pPr>
        <w:pStyle w:val="ListParagraph"/>
        <w:numPr>
          <w:ilvl w:val="0"/>
          <w:numId w:val="2"/>
        </w:numPr>
        <w:tabs>
          <w:tab w:val="left" w:pos="426"/>
        </w:tabs>
        <w:spacing w:line="288" w:lineRule="auto"/>
        <w:ind w:left="426" w:hanging="426"/>
        <w:jc w:val="both"/>
        <w:rPr>
          <w:rFonts w:cs="Arial"/>
          <w:color w:val="000000" w:themeColor="text1"/>
          <w:szCs w:val="24"/>
        </w:rPr>
      </w:pPr>
      <w:r w:rsidRPr="00467EB9">
        <w:rPr>
          <w:rFonts w:cs="Arial"/>
          <w:color w:val="000000" w:themeColor="text1"/>
          <w:szCs w:val="24"/>
        </w:rPr>
        <w:t>Compliance notices were also served, with the compliance date of 7 September 2025, to address the shortfalls and issues identified.</w:t>
      </w:r>
    </w:p>
    <w:p w14:paraId="3520876C" w14:textId="77777777" w:rsidR="006F3949" w:rsidRPr="00D9136D" w:rsidRDefault="006F3949" w:rsidP="00BE4E6B">
      <w:pPr>
        <w:tabs>
          <w:tab w:val="left" w:pos="426"/>
        </w:tabs>
        <w:spacing w:line="288" w:lineRule="auto"/>
        <w:jc w:val="both"/>
        <w:rPr>
          <w:rFonts w:cs="Arial"/>
          <w:color w:val="000000" w:themeColor="text1"/>
          <w:sz w:val="24"/>
        </w:rPr>
      </w:pPr>
    </w:p>
    <w:p w14:paraId="73D48C86" w14:textId="06559E57" w:rsidR="00BE4E6B" w:rsidRPr="00D9136D" w:rsidRDefault="00BE4E6B" w:rsidP="00BE4E6B">
      <w:pPr>
        <w:tabs>
          <w:tab w:val="left" w:pos="426"/>
        </w:tabs>
        <w:spacing w:line="288" w:lineRule="auto"/>
        <w:jc w:val="both"/>
        <w:rPr>
          <w:rFonts w:cs="Arial"/>
          <w:i/>
          <w:iCs/>
          <w:color w:val="000000" w:themeColor="text1"/>
          <w:sz w:val="24"/>
        </w:rPr>
      </w:pPr>
      <w:r w:rsidRPr="00D9136D">
        <w:rPr>
          <w:rFonts w:cs="Arial"/>
          <w:i/>
          <w:iCs/>
          <w:color w:val="000000" w:themeColor="text1"/>
          <w:sz w:val="24"/>
        </w:rPr>
        <w:t>Other Developments</w:t>
      </w:r>
    </w:p>
    <w:p w14:paraId="384381C6" w14:textId="77777777" w:rsidR="006F3949" w:rsidRPr="00D9136D" w:rsidRDefault="006F3949" w:rsidP="006F3949">
      <w:pPr>
        <w:pStyle w:val="ListParagraph"/>
        <w:tabs>
          <w:tab w:val="left" w:pos="426"/>
        </w:tabs>
        <w:spacing w:line="288" w:lineRule="auto"/>
        <w:ind w:left="426"/>
        <w:jc w:val="both"/>
        <w:rPr>
          <w:rFonts w:cs="Arial"/>
          <w:color w:val="000000" w:themeColor="text1"/>
          <w:szCs w:val="24"/>
        </w:rPr>
      </w:pPr>
    </w:p>
    <w:p w14:paraId="77B89114" w14:textId="0E288942" w:rsidR="00BE4E6B" w:rsidRPr="00467EB9" w:rsidRDefault="00BE4E6B" w:rsidP="00AA58A8">
      <w:pPr>
        <w:pStyle w:val="ListParagraph"/>
        <w:numPr>
          <w:ilvl w:val="0"/>
          <w:numId w:val="2"/>
        </w:numPr>
        <w:tabs>
          <w:tab w:val="left" w:pos="426"/>
        </w:tabs>
        <w:spacing w:line="288" w:lineRule="auto"/>
        <w:ind w:left="426" w:hanging="426"/>
        <w:jc w:val="both"/>
        <w:rPr>
          <w:rFonts w:cs="Arial"/>
          <w:color w:val="000000" w:themeColor="text1"/>
          <w:szCs w:val="24"/>
        </w:rPr>
      </w:pPr>
      <w:r w:rsidRPr="00467EB9">
        <w:rPr>
          <w:rFonts w:cs="Arial"/>
          <w:color w:val="000000" w:themeColor="text1"/>
          <w:szCs w:val="24"/>
        </w:rPr>
        <w:t xml:space="preserve">We note that, within the Bundle, there is evidence of a subsequent monitoring visit by Cambridgeshire County Council. This appears to have </w:t>
      </w:r>
      <w:r w:rsidR="00940ABA" w:rsidRPr="00467EB9">
        <w:rPr>
          <w:rFonts w:cs="Arial"/>
          <w:color w:val="000000" w:themeColor="text1"/>
          <w:szCs w:val="24"/>
        </w:rPr>
        <w:t>been triggered by the outcome of the First Inspection and to have taken place on 18 July 2025. It appears to have involved a discussion with the nominated individual regarding the First Inspection, a review of an action plan produced by the Appellant (see below), a review of files, a tour of the premises, and a discussion with one service user. The associated report of the visit indicates, in broad terms, that, at least in relation to some important respects, the Appellant is (or</w:t>
      </w:r>
      <w:r w:rsidR="00CA7EAC">
        <w:rPr>
          <w:rFonts w:cs="Arial"/>
          <w:color w:val="000000" w:themeColor="text1"/>
          <w:szCs w:val="24"/>
        </w:rPr>
        <w:t>, more accurately,</w:t>
      </w:r>
      <w:r w:rsidR="00940ABA" w:rsidRPr="00467EB9">
        <w:rPr>
          <w:rFonts w:cs="Arial"/>
          <w:color w:val="000000" w:themeColor="text1"/>
          <w:szCs w:val="24"/>
        </w:rPr>
        <w:t xml:space="preserve"> was as </w:t>
      </w:r>
      <w:proofErr w:type="gramStart"/>
      <w:r w:rsidR="00940ABA" w:rsidRPr="00467EB9">
        <w:rPr>
          <w:rFonts w:cs="Arial"/>
          <w:color w:val="000000" w:themeColor="text1"/>
          <w:szCs w:val="24"/>
        </w:rPr>
        <w:t>at</w:t>
      </w:r>
      <w:proofErr w:type="gramEnd"/>
      <w:r w:rsidR="00940ABA" w:rsidRPr="00467EB9">
        <w:rPr>
          <w:rFonts w:cs="Arial"/>
          <w:color w:val="000000" w:themeColor="text1"/>
          <w:szCs w:val="24"/>
        </w:rPr>
        <w:t xml:space="preserve"> 18 </w:t>
      </w:r>
      <w:r w:rsidR="00940ABA" w:rsidRPr="00467EB9">
        <w:rPr>
          <w:rFonts w:cs="Arial"/>
          <w:color w:val="000000" w:themeColor="text1"/>
          <w:szCs w:val="24"/>
        </w:rPr>
        <w:lastRenderedPageBreak/>
        <w:t xml:space="preserve">July 2025) still in the process of reviewing processes </w:t>
      </w:r>
      <w:r w:rsidR="00CA7EAC">
        <w:rPr>
          <w:rFonts w:cs="Arial"/>
          <w:color w:val="000000" w:themeColor="text1"/>
          <w:szCs w:val="24"/>
        </w:rPr>
        <w:t>(such as</w:t>
      </w:r>
      <w:r w:rsidR="00940ABA" w:rsidRPr="00467EB9">
        <w:rPr>
          <w:rFonts w:cs="Arial"/>
          <w:color w:val="000000" w:themeColor="text1"/>
          <w:szCs w:val="24"/>
        </w:rPr>
        <w:t xml:space="preserve"> those relating to referrals/admissions), making changes and improvements, etc. The report also indicates that the </w:t>
      </w:r>
      <w:r w:rsidR="00CA7EAC">
        <w:rPr>
          <w:rFonts w:cs="Arial"/>
          <w:color w:val="000000" w:themeColor="text1"/>
          <w:szCs w:val="24"/>
        </w:rPr>
        <w:t>local authority</w:t>
      </w:r>
      <w:r w:rsidR="00940ABA" w:rsidRPr="00467EB9">
        <w:rPr>
          <w:rFonts w:cs="Arial"/>
          <w:color w:val="000000" w:themeColor="text1"/>
          <w:szCs w:val="24"/>
        </w:rPr>
        <w:t xml:space="preserve"> found that some important documents, such as daily logs and instant logs, varied in detail and quality. Record keeping and “targeted support” were identified as areas for improvement. The Appellant was expected to provide regular further updates, in relation to its action plan, to the local authority</w:t>
      </w:r>
      <w:r w:rsidR="00CA7EAC">
        <w:rPr>
          <w:rFonts w:cs="Arial"/>
          <w:color w:val="000000" w:themeColor="text1"/>
          <w:szCs w:val="24"/>
        </w:rPr>
        <w:t>,</w:t>
      </w:r>
      <w:r w:rsidR="00940ABA" w:rsidRPr="00467EB9">
        <w:rPr>
          <w:rFonts w:cs="Arial"/>
          <w:color w:val="000000" w:themeColor="text1"/>
          <w:szCs w:val="24"/>
        </w:rPr>
        <w:t xml:space="preserve"> as part of the latter’s “continuous monitoring” of it as a provider. </w:t>
      </w:r>
      <w:r w:rsidR="00CA7EAC">
        <w:rPr>
          <w:rFonts w:cs="Arial"/>
          <w:color w:val="000000" w:themeColor="text1"/>
          <w:szCs w:val="24"/>
        </w:rPr>
        <w:t>We also note, however, as we do above, that</w:t>
      </w:r>
      <w:r w:rsidR="00940ABA" w:rsidRPr="00467EB9">
        <w:rPr>
          <w:rFonts w:cs="Arial"/>
          <w:color w:val="000000" w:themeColor="text1"/>
          <w:szCs w:val="24"/>
        </w:rPr>
        <w:t xml:space="preserve"> there were positive</w:t>
      </w:r>
      <w:r w:rsidR="00CA7EAC">
        <w:rPr>
          <w:rFonts w:cs="Arial"/>
          <w:color w:val="000000" w:themeColor="text1"/>
          <w:szCs w:val="24"/>
        </w:rPr>
        <w:t xml:space="preserve"> observations,</w:t>
      </w:r>
      <w:r w:rsidR="00940ABA" w:rsidRPr="00467EB9">
        <w:rPr>
          <w:rFonts w:cs="Arial"/>
          <w:color w:val="000000" w:themeColor="text1"/>
          <w:szCs w:val="24"/>
        </w:rPr>
        <w:t xml:space="preserve"> including </w:t>
      </w:r>
      <w:r w:rsidR="00CA7EAC">
        <w:rPr>
          <w:rFonts w:cs="Arial"/>
          <w:color w:val="000000" w:themeColor="text1"/>
          <w:szCs w:val="24"/>
        </w:rPr>
        <w:t xml:space="preserve">those in relation to </w:t>
      </w:r>
      <w:r w:rsidR="00940ABA" w:rsidRPr="00467EB9">
        <w:rPr>
          <w:rFonts w:cs="Arial"/>
          <w:color w:val="000000" w:themeColor="text1"/>
          <w:szCs w:val="24"/>
        </w:rPr>
        <w:t>the director’s “dedication and commitment to the young people”.</w:t>
      </w:r>
    </w:p>
    <w:p w14:paraId="0139E5CF" w14:textId="77777777" w:rsidR="00940ABA" w:rsidRPr="00467EB9" w:rsidRDefault="00940ABA" w:rsidP="00940ABA">
      <w:pPr>
        <w:pStyle w:val="ListParagraph"/>
        <w:tabs>
          <w:tab w:val="left" w:pos="426"/>
        </w:tabs>
        <w:spacing w:line="288" w:lineRule="auto"/>
        <w:ind w:left="426"/>
        <w:jc w:val="both"/>
        <w:rPr>
          <w:rFonts w:cs="Arial"/>
          <w:color w:val="000000" w:themeColor="text1"/>
          <w:szCs w:val="24"/>
        </w:rPr>
      </w:pPr>
    </w:p>
    <w:p w14:paraId="6C9DCD0F" w14:textId="4426740E" w:rsidR="00E87B63" w:rsidRPr="00467EB9" w:rsidRDefault="00940ABA" w:rsidP="00AA58A8">
      <w:pPr>
        <w:pStyle w:val="ListParagraph"/>
        <w:numPr>
          <w:ilvl w:val="0"/>
          <w:numId w:val="2"/>
        </w:numPr>
        <w:tabs>
          <w:tab w:val="left" w:pos="426"/>
        </w:tabs>
        <w:spacing w:line="288" w:lineRule="auto"/>
        <w:ind w:left="426" w:hanging="426"/>
        <w:jc w:val="both"/>
        <w:rPr>
          <w:rFonts w:cs="Arial"/>
          <w:color w:val="000000" w:themeColor="text1"/>
          <w:szCs w:val="24"/>
        </w:rPr>
      </w:pPr>
      <w:r w:rsidRPr="00467EB9">
        <w:rPr>
          <w:rFonts w:cs="Arial"/>
          <w:color w:val="000000" w:themeColor="text1"/>
          <w:szCs w:val="24"/>
        </w:rPr>
        <w:t>We note the action plan in the Bundle. While the date of the version before us is not entirely clear, Mr Williams’s statement suggests it</w:t>
      </w:r>
      <w:r w:rsidR="00CA7EAC">
        <w:rPr>
          <w:rFonts w:cs="Arial"/>
          <w:color w:val="000000" w:themeColor="text1"/>
          <w:szCs w:val="24"/>
        </w:rPr>
        <w:t>’</w:t>
      </w:r>
      <w:r w:rsidRPr="00467EB9">
        <w:rPr>
          <w:rFonts w:cs="Arial"/>
          <w:color w:val="000000" w:themeColor="text1"/>
          <w:szCs w:val="24"/>
        </w:rPr>
        <w:t>s a version from 10 July 2025. Again,</w:t>
      </w:r>
      <w:r w:rsidR="00E83B51">
        <w:rPr>
          <w:rFonts w:cs="Arial"/>
          <w:color w:val="000000" w:themeColor="text1"/>
          <w:szCs w:val="24"/>
        </w:rPr>
        <w:t xml:space="preserve"> </w:t>
      </w:r>
      <w:r w:rsidRPr="00467EB9">
        <w:rPr>
          <w:rFonts w:cs="Arial"/>
          <w:color w:val="000000" w:themeColor="text1"/>
          <w:szCs w:val="24"/>
        </w:rPr>
        <w:t xml:space="preserve">in broad terms, </w:t>
      </w:r>
      <w:r w:rsidR="00E83B51">
        <w:rPr>
          <w:rFonts w:cs="Arial"/>
          <w:color w:val="000000" w:themeColor="text1"/>
          <w:szCs w:val="24"/>
        </w:rPr>
        <w:t xml:space="preserve">it </w:t>
      </w:r>
      <w:r w:rsidRPr="00467EB9">
        <w:rPr>
          <w:rFonts w:cs="Arial"/>
          <w:color w:val="000000" w:themeColor="text1"/>
          <w:szCs w:val="24"/>
        </w:rPr>
        <w:t>appears to indicate that the Appellant has put a plan together designed to address the concerns raised by the Respondent in the Second Inspection but that, in several significant aspects,</w:t>
      </w:r>
      <w:r w:rsidR="00E87B63" w:rsidRPr="00467EB9">
        <w:rPr>
          <w:rFonts w:cs="Arial"/>
          <w:color w:val="000000" w:themeColor="text1"/>
          <w:szCs w:val="24"/>
        </w:rPr>
        <w:t xml:space="preserve"> is still in the process of delivering against that plan. There is no</w:t>
      </w:r>
      <w:r w:rsidR="00CA7EAC">
        <w:rPr>
          <w:rFonts w:cs="Arial"/>
          <w:color w:val="000000" w:themeColor="text1"/>
          <w:szCs w:val="24"/>
        </w:rPr>
        <w:t xml:space="preserve"> or no persuasive</w:t>
      </w:r>
      <w:r w:rsidR="00E87B63" w:rsidRPr="00467EB9">
        <w:rPr>
          <w:rFonts w:cs="Arial"/>
          <w:color w:val="000000" w:themeColor="text1"/>
          <w:szCs w:val="24"/>
        </w:rPr>
        <w:t xml:space="preserve"> evidence before us, for example, from the Appellant, that (1) the plan is now fully implemented and (2) is sufficient to address all of the significant concerns raised by and relied on by the Respondent.</w:t>
      </w:r>
    </w:p>
    <w:p w14:paraId="76E7C412" w14:textId="77777777" w:rsidR="00E87B63" w:rsidRPr="00467EB9" w:rsidRDefault="00E87B63" w:rsidP="00E87B63">
      <w:pPr>
        <w:pStyle w:val="ListParagraph"/>
        <w:tabs>
          <w:tab w:val="left" w:pos="426"/>
        </w:tabs>
        <w:spacing w:line="288" w:lineRule="auto"/>
        <w:ind w:left="426"/>
        <w:jc w:val="both"/>
        <w:rPr>
          <w:rFonts w:cs="Arial"/>
          <w:color w:val="000000" w:themeColor="text1"/>
          <w:szCs w:val="24"/>
        </w:rPr>
      </w:pPr>
    </w:p>
    <w:p w14:paraId="44E383AC" w14:textId="123F1714" w:rsidR="00940ABA" w:rsidRPr="00467EB9" w:rsidRDefault="00E87B63" w:rsidP="00AA58A8">
      <w:pPr>
        <w:pStyle w:val="ListParagraph"/>
        <w:numPr>
          <w:ilvl w:val="0"/>
          <w:numId w:val="2"/>
        </w:numPr>
        <w:tabs>
          <w:tab w:val="left" w:pos="426"/>
        </w:tabs>
        <w:spacing w:line="288" w:lineRule="auto"/>
        <w:ind w:left="426" w:hanging="426"/>
        <w:jc w:val="both"/>
        <w:rPr>
          <w:rFonts w:cs="Arial"/>
          <w:color w:val="000000" w:themeColor="text1"/>
          <w:szCs w:val="24"/>
        </w:rPr>
      </w:pPr>
      <w:r w:rsidRPr="00467EB9">
        <w:rPr>
          <w:rFonts w:cs="Arial"/>
          <w:color w:val="000000" w:themeColor="text1"/>
          <w:szCs w:val="24"/>
        </w:rPr>
        <w:t>We further note</w:t>
      </w:r>
      <w:r w:rsidR="00CA7EAC">
        <w:rPr>
          <w:rFonts w:cs="Arial"/>
          <w:color w:val="000000" w:themeColor="text1"/>
          <w:szCs w:val="24"/>
        </w:rPr>
        <w:t>, and ha</w:t>
      </w:r>
      <w:r w:rsidR="00E83B51">
        <w:rPr>
          <w:rFonts w:cs="Arial"/>
          <w:color w:val="000000" w:themeColor="text1"/>
          <w:szCs w:val="24"/>
        </w:rPr>
        <w:t>ve</w:t>
      </w:r>
      <w:r w:rsidR="00CA7EAC">
        <w:rPr>
          <w:rFonts w:cs="Arial"/>
          <w:color w:val="000000" w:themeColor="text1"/>
          <w:szCs w:val="24"/>
        </w:rPr>
        <w:t xml:space="preserve"> taken into consideration,</w:t>
      </w:r>
      <w:r w:rsidRPr="00467EB9">
        <w:rPr>
          <w:rFonts w:cs="Arial"/>
          <w:color w:val="000000" w:themeColor="text1"/>
          <w:szCs w:val="24"/>
        </w:rPr>
        <w:t xml:space="preserve"> a document called “Minor clarification or factual accuracy form”.</w:t>
      </w:r>
    </w:p>
    <w:p w14:paraId="3A456835" w14:textId="77777777" w:rsidR="00D9136D" w:rsidRDefault="00D9136D" w:rsidP="00D9136D">
      <w:pPr>
        <w:pStyle w:val="ListParagraph"/>
        <w:tabs>
          <w:tab w:val="left" w:pos="426"/>
        </w:tabs>
        <w:spacing w:line="288" w:lineRule="auto"/>
        <w:ind w:left="426"/>
        <w:jc w:val="both"/>
        <w:rPr>
          <w:rFonts w:cs="Arial"/>
          <w:color w:val="000000" w:themeColor="text1"/>
          <w:szCs w:val="24"/>
        </w:rPr>
      </w:pPr>
    </w:p>
    <w:p w14:paraId="7893F1BB" w14:textId="5F8EC347" w:rsidR="00E87B63" w:rsidRPr="00467EB9" w:rsidRDefault="00E87B63" w:rsidP="00AA58A8">
      <w:pPr>
        <w:pStyle w:val="ListParagraph"/>
        <w:numPr>
          <w:ilvl w:val="0"/>
          <w:numId w:val="2"/>
        </w:numPr>
        <w:tabs>
          <w:tab w:val="left" w:pos="426"/>
        </w:tabs>
        <w:spacing w:line="288" w:lineRule="auto"/>
        <w:ind w:left="426" w:hanging="426"/>
        <w:jc w:val="both"/>
        <w:rPr>
          <w:rFonts w:cs="Arial"/>
          <w:color w:val="000000" w:themeColor="text1"/>
          <w:szCs w:val="24"/>
        </w:rPr>
      </w:pPr>
      <w:r w:rsidRPr="00467EB9">
        <w:rPr>
          <w:rFonts w:cs="Arial"/>
          <w:color w:val="000000" w:themeColor="text1"/>
          <w:szCs w:val="24"/>
        </w:rPr>
        <w:t>Finally, we note the information contained within or associated with Mr Williams’s more recent witness statement. The statement is very brief, covering just two pages. It does not</w:t>
      </w:r>
      <w:r w:rsidR="004541CF">
        <w:rPr>
          <w:rFonts w:cs="Arial"/>
          <w:color w:val="000000" w:themeColor="text1"/>
          <w:szCs w:val="24"/>
        </w:rPr>
        <w:t>, in our view,</w:t>
      </w:r>
      <w:r w:rsidRPr="00467EB9">
        <w:rPr>
          <w:rFonts w:cs="Arial"/>
          <w:color w:val="000000" w:themeColor="text1"/>
          <w:szCs w:val="24"/>
        </w:rPr>
        <w:t xml:space="preserve"> really address the issues/allegations most relevant to the Appeal. It repeats the complaint or concern about the alleged approach adopted by Mr James to the Second Inspection in particular. But the issues raised</w:t>
      </w:r>
      <w:r w:rsidR="004541CF">
        <w:rPr>
          <w:rFonts w:cs="Arial"/>
          <w:color w:val="000000" w:themeColor="text1"/>
          <w:szCs w:val="24"/>
        </w:rPr>
        <w:t>, in relation to that,</w:t>
      </w:r>
      <w:r w:rsidRPr="00467EB9">
        <w:rPr>
          <w:rFonts w:cs="Arial"/>
          <w:color w:val="000000" w:themeColor="text1"/>
          <w:szCs w:val="24"/>
        </w:rPr>
        <w:t xml:space="preserve"> are not sufficiently relevant, detailed, supported, or persuasive to drive us towards upholding the Appeal. There was very little in the statement about the crucial issues in this case or the </w:t>
      </w:r>
      <w:r w:rsidR="004541CF">
        <w:rPr>
          <w:rFonts w:cs="Arial"/>
          <w:color w:val="000000" w:themeColor="text1"/>
          <w:szCs w:val="24"/>
        </w:rPr>
        <w:t xml:space="preserve">current </w:t>
      </w:r>
      <w:r w:rsidRPr="00467EB9">
        <w:rPr>
          <w:rFonts w:cs="Arial"/>
          <w:color w:val="000000" w:themeColor="text1"/>
          <w:szCs w:val="24"/>
        </w:rPr>
        <w:t>position, in relation to them, that the Appellant is now in. Having sought a paper-based hearing, there was no opportunity for us to ask Mr Williams further questions or</w:t>
      </w:r>
      <w:r w:rsidR="004541CF">
        <w:rPr>
          <w:rFonts w:cs="Arial"/>
          <w:color w:val="000000" w:themeColor="text1"/>
          <w:szCs w:val="24"/>
        </w:rPr>
        <w:t xml:space="preserve"> (to the extent that it would have been fair procedurally to have sought to do so)</w:t>
      </w:r>
      <w:r w:rsidRPr="00467EB9">
        <w:rPr>
          <w:rFonts w:cs="Arial"/>
          <w:color w:val="000000" w:themeColor="text1"/>
          <w:szCs w:val="24"/>
        </w:rPr>
        <w:t xml:space="preserve"> to assist him in providing some further relevant evidence about key issues.</w:t>
      </w:r>
    </w:p>
    <w:p w14:paraId="06FE90FB" w14:textId="77777777" w:rsidR="00E87B63" w:rsidRPr="00D9136D" w:rsidRDefault="00E87B63" w:rsidP="00E87B63">
      <w:pPr>
        <w:pStyle w:val="ListParagraph"/>
        <w:rPr>
          <w:rFonts w:cs="Arial"/>
          <w:color w:val="000000" w:themeColor="text1"/>
          <w:szCs w:val="24"/>
        </w:rPr>
      </w:pPr>
    </w:p>
    <w:p w14:paraId="6FB17C68" w14:textId="61569EB6" w:rsidR="00E87B63" w:rsidRPr="00D9136D" w:rsidRDefault="00E87B63" w:rsidP="00E87B63">
      <w:pPr>
        <w:tabs>
          <w:tab w:val="left" w:pos="426"/>
        </w:tabs>
        <w:spacing w:line="288" w:lineRule="auto"/>
        <w:jc w:val="both"/>
        <w:rPr>
          <w:rFonts w:cs="Arial"/>
          <w:i/>
          <w:iCs/>
          <w:color w:val="000000" w:themeColor="text1"/>
          <w:sz w:val="24"/>
        </w:rPr>
      </w:pPr>
      <w:r w:rsidRPr="00D9136D">
        <w:rPr>
          <w:rFonts w:cs="Arial"/>
          <w:i/>
          <w:iCs/>
          <w:color w:val="000000" w:themeColor="text1"/>
          <w:sz w:val="24"/>
        </w:rPr>
        <w:t>Bringing Things Together</w:t>
      </w:r>
    </w:p>
    <w:p w14:paraId="44728D19" w14:textId="77777777" w:rsidR="006F3949" w:rsidRPr="00D9136D" w:rsidRDefault="006F3949" w:rsidP="006F3949">
      <w:pPr>
        <w:pStyle w:val="ListParagraph"/>
        <w:tabs>
          <w:tab w:val="left" w:pos="426"/>
        </w:tabs>
        <w:spacing w:line="288" w:lineRule="auto"/>
        <w:ind w:left="426"/>
        <w:jc w:val="both"/>
        <w:rPr>
          <w:rFonts w:cs="Arial"/>
          <w:color w:val="000000" w:themeColor="text1"/>
          <w:szCs w:val="24"/>
        </w:rPr>
      </w:pPr>
    </w:p>
    <w:p w14:paraId="7D96F621" w14:textId="19651383" w:rsidR="00E87B63" w:rsidRPr="00467EB9" w:rsidRDefault="00E87B63" w:rsidP="0083485B">
      <w:pPr>
        <w:pStyle w:val="ListParagraph"/>
        <w:numPr>
          <w:ilvl w:val="0"/>
          <w:numId w:val="2"/>
        </w:numPr>
        <w:tabs>
          <w:tab w:val="left" w:pos="426"/>
        </w:tabs>
        <w:spacing w:line="288" w:lineRule="auto"/>
        <w:ind w:left="426" w:hanging="426"/>
        <w:jc w:val="both"/>
        <w:rPr>
          <w:rFonts w:cs="Arial"/>
          <w:color w:val="000000" w:themeColor="text1"/>
          <w:szCs w:val="24"/>
        </w:rPr>
      </w:pPr>
      <w:r w:rsidRPr="00467EB9">
        <w:rPr>
          <w:rFonts w:cs="Arial"/>
          <w:color w:val="000000" w:themeColor="text1"/>
          <w:szCs w:val="24"/>
        </w:rPr>
        <w:t xml:space="preserve">Overall, we are satisfied that there was reasonable cause to believe that </w:t>
      </w:r>
      <w:r w:rsidR="004541CF">
        <w:rPr>
          <w:rFonts w:cs="Arial"/>
          <w:color w:val="000000" w:themeColor="text1"/>
          <w:szCs w:val="24"/>
        </w:rPr>
        <w:t>a</w:t>
      </w:r>
      <w:r w:rsidRPr="00467EB9">
        <w:rPr>
          <w:rFonts w:cs="Arial"/>
          <w:color w:val="000000" w:themeColor="text1"/>
          <w:szCs w:val="24"/>
        </w:rPr>
        <w:t xml:space="preserve"> material risk was </w:t>
      </w:r>
      <w:r w:rsidR="004541CF">
        <w:rPr>
          <w:rFonts w:cs="Arial"/>
          <w:color w:val="000000" w:themeColor="text1"/>
          <w:szCs w:val="24"/>
        </w:rPr>
        <w:t>present</w:t>
      </w:r>
      <w:r w:rsidRPr="00467EB9">
        <w:rPr>
          <w:rFonts w:cs="Arial"/>
          <w:color w:val="000000" w:themeColor="text1"/>
          <w:szCs w:val="24"/>
        </w:rPr>
        <w:t xml:space="preserve"> at the time of the Notice and that it continues, today, to be</w:t>
      </w:r>
      <w:r w:rsidR="004541CF">
        <w:rPr>
          <w:rFonts w:cs="Arial"/>
          <w:color w:val="000000" w:themeColor="text1"/>
          <w:szCs w:val="24"/>
        </w:rPr>
        <w:t xml:space="preserve"> so</w:t>
      </w:r>
      <w:r w:rsidRPr="00467EB9">
        <w:rPr>
          <w:rFonts w:cs="Arial"/>
          <w:color w:val="000000" w:themeColor="text1"/>
          <w:szCs w:val="24"/>
        </w:rPr>
        <w:t xml:space="preserve">. The evidence from the Respondent on that appears to us to be relatively strong (if </w:t>
      </w:r>
      <w:r w:rsidRPr="00467EB9">
        <w:rPr>
          <w:rFonts w:cs="Arial"/>
          <w:color w:val="000000" w:themeColor="text1"/>
          <w:szCs w:val="24"/>
        </w:rPr>
        <w:lastRenderedPageBreak/>
        <w:t>untested</w:t>
      </w:r>
      <w:r w:rsidR="004541CF">
        <w:rPr>
          <w:rFonts w:cs="Arial"/>
          <w:color w:val="000000" w:themeColor="text1"/>
          <w:szCs w:val="24"/>
        </w:rPr>
        <w:t xml:space="preserve"> in court</w:t>
      </w:r>
      <w:r w:rsidRPr="00467EB9">
        <w:rPr>
          <w:rFonts w:cs="Arial"/>
          <w:color w:val="000000" w:themeColor="text1"/>
          <w:szCs w:val="24"/>
        </w:rPr>
        <w:t xml:space="preserve">); and there is little evidence, in practice, from the Appellant to undermine it or to establish recent sufficient improvements etc. </w:t>
      </w:r>
      <w:r w:rsidR="001D6BFC" w:rsidRPr="00467EB9">
        <w:rPr>
          <w:rFonts w:cs="Arial"/>
          <w:color w:val="000000" w:themeColor="text1"/>
          <w:szCs w:val="24"/>
        </w:rPr>
        <w:t>The reality appears likely to be that the Appellant was operating in such a way that may well (if unintentionally and despite good inten</w:t>
      </w:r>
      <w:r w:rsidR="00E83B51">
        <w:rPr>
          <w:rFonts w:cs="Arial"/>
          <w:color w:val="000000" w:themeColor="text1"/>
          <w:szCs w:val="24"/>
        </w:rPr>
        <w:t>t</w:t>
      </w:r>
      <w:r w:rsidR="001D6BFC" w:rsidRPr="00467EB9">
        <w:rPr>
          <w:rFonts w:cs="Arial"/>
          <w:color w:val="000000" w:themeColor="text1"/>
          <w:szCs w:val="24"/>
        </w:rPr>
        <w:t xml:space="preserve">ions) </w:t>
      </w:r>
      <w:r w:rsidR="004541CF">
        <w:rPr>
          <w:rFonts w:cs="Arial"/>
          <w:color w:val="000000" w:themeColor="text1"/>
          <w:szCs w:val="24"/>
        </w:rPr>
        <w:t xml:space="preserve">have </w:t>
      </w:r>
      <w:r w:rsidR="001D6BFC" w:rsidRPr="00467EB9">
        <w:rPr>
          <w:rFonts w:cs="Arial"/>
          <w:color w:val="000000" w:themeColor="text1"/>
          <w:szCs w:val="24"/>
        </w:rPr>
        <w:t>put children at material risk of harm and</w:t>
      </w:r>
      <w:r w:rsidR="004541CF">
        <w:rPr>
          <w:rFonts w:cs="Arial"/>
          <w:color w:val="000000" w:themeColor="text1"/>
          <w:szCs w:val="24"/>
        </w:rPr>
        <w:t xml:space="preserve"> that</w:t>
      </w:r>
      <w:r w:rsidR="001D6BFC" w:rsidRPr="00467EB9">
        <w:rPr>
          <w:rFonts w:cs="Arial"/>
          <w:color w:val="000000" w:themeColor="text1"/>
          <w:szCs w:val="24"/>
        </w:rPr>
        <w:t xml:space="preserve">, while it is in the process of seeking to make changes to address relevant matters, </w:t>
      </w:r>
      <w:r w:rsidR="004541CF">
        <w:rPr>
          <w:rFonts w:cs="Arial"/>
          <w:color w:val="000000" w:themeColor="text1"/>
          <w:szCs w:val="24"/>
        </w:rPr>
        <w:t xml:space="preserve">it </w:t>
      </w:r>
      <w:r w:rsidR="001D6BFC" w:rsidRPr="00467EB9">
        <w:rPr>
          <w:rFonts w:cs="Arial"/>
          <w:color w:val="000000" w:themeColor="text1"/>
          <w:szCs w:val="24"/>
        </w:rPr>
        <w:t xml:space="preserve">has yet to get to the point where the relevant risk can be properly said, objectively, to have been reduced to a level that is acceptable. We have kept in mind the following from the Guide: “Where young people of this age have needs that would best be met in a children’s home or foster care placement, that is where they should be placed… Supported accommodation caters for children aged 16 and 17 </w:t>
      </w:r>
      <w:r w:rsidR="004541CF">
        <w:rPr>
          <w:rFonts w:cs="Arial"/>
          <w:color w:val="000000" w:themeColor="text1"/>
          <w:szCs w:val="24"/>
        </w:rPr>
        <w:t>who</w:t>
      </w:r>
      <w:r w:rsidR="001D6BFC" w:rsidRPr="00467EB9">
        <w:rPr>
          <w:rFonts w:cs="Arial"/>
          <w:color w:val="000000" w:themeColor="text1"/>
          <w:szCs w:val="24"/>
        </w:rPr>
        <w:t xml:space="preserve"> have relatively high or increasing levels of independence, </w:t>
      </w:r>
      <w:r w:rsidR="004541CF">
        <w:rPr>
          <w:rFonts w:cs="Arial"/>
          <w:color w:val="000000" w:themeColor="text1"/>
          <w:szCs w:val="24"/>
        </w:rPr>
        <w:t>who</w:t>
      </w:r>
      <w:r w:rsidR="001D6BFC" w:rsidRPr="00467EB9">
        <w:rPr>
          <w:rFonts w:cs="Arial"/>
          <w:color w:val="000000" w:themeColor="text1"/>
          <w:szCs w:val="24"/>
        </w:rPr>
        <w:t xml:space="preserve"> are ready to gain further skills in preparation for adult living, and </w:t>
      </w:r>
      <w:r w:rsidR="00F96DA8">
        <w:rPr>
          <w:rFonts w:cs="Arial"/>
          <w:color w:val="000000" w:themeColor="text1"/>
          <w:szCs w:val="24"/>
        </w:rPr>
        <w:t xml:space="preserve">who </w:t>
      </w:r>
      <w:r w:rsidR="001D6BFC" w:rsidRPr="00467EB9">
        <w:rPr>
          <w:rFonts w:cs="Arial"/>
          <w:color w:val="000000" w:themeColor="text1"/>
          <w:szCs w:val="24"/>
        </w:rPr>
        <w:t xml:space="preserve">do not need or want </w:t>
      </w:r>
      <w:r w:rsidR="004541CF">
        <w:rPr>
          <w:rFonts w:cs="Arial"/>
          <w:color w:val="000000" w:themeColor="text1"/>
          <w:szCs w:val="24"/>
        </w:rPr>
        <w:t xml:space="preserve">the </w:t>
      </w:r>
      <w:r w:rsidR="001D6BFC" w:rsidRPr="00467EB9">
        <w:rPr>
          <w:rFonts w:cs="Arial"/>
          <w:color w:val="000000" w:themeColor="text1"/>
          <w:szCs w:val="24"/>
        </w:rPr>
        <w:t xml:space="preserve">degree of care or type of environment provided in the children’s home or foster care”. </w:t>
      </w:r>
      <w:r w:rsidR="00F96DA8">
        <w:rPr>
          <w:rFonts w:cs="Arial"/>
          <w:color w:val="000000" w:themeColor="text1"/>
          <w:szCs w:val="24"/>
        </w:rPr>
        <w:t>W</w:t>
      </w:r>
      <w:r w:rsidR="001D6BFC" w:rsidRPr="00467EB9">
        <w:rPr>
          <w:rFonts w:cs="Arial"/>
          <w:color w:val="000000" w:themeColor="text1"/>
          <w:szCs w:val="24"/>
        </w:rPr>
        <w:t xml:space="preserve">e are persuaded that there are significant </w:t>
      </w:r>
      <w:r w:rsidR="00F96DA8">
        <w:rPr>
          <w:rFonts w:cs="Arial"/>
          <w:color w:val="000000" w:themeColor="text1"/>
          <w:szCs w:val="24"/>
        </w:rPr>
        <w:t xml:space="preserve">ongoing </w:t>
      </w:r>
      <w:r w:rsidR="001D6BFC" w:rsidRPr="00467EB9">
        <w:rPr>
          <w:rFonts w:cs="Arial"/>
          <w:color w:val="000000" w:themeColor="text1"/>
          <w:szCs w:val="24"/>
        </w:rPr>
        <w:t>risks</w:t>
      </w:r>
      <w:r w:rsidR="00F96DA8">
        <w:rPr>
          <w:rFonts w:cs="Arial"/>
          <w:color w:val="000000" w:themeColor="text1"/>
          <w:szCs w:val="24"/>
        </w:rPr>
        <w:t>,</w:t>
      </w:r>
      <w:r w:rsidR="001D6BFC" w:rsidRPr="00467EB9">
        <w:rPr>
          <w:rFonts w:cs="Arial"/>
          <w:color w:val="000000" w:themeColor="text1"/>
          <w:szCs w:val="24"/>
        </w:rPr>
        <w:t xml:space="preserve"> arising not just from</w:t>
      </w:r>
      <w:r w:rsidR="004541CF">
        <w:rPr>
          <w:rFonts w:cs="Arial"/>
          <w:color w:val="000000" w:themeColor="text1"/>
          <w:szCs w:val="24"/>
        </w:rPr>
        <w:t xml:space="preserve"> the Appellant’s</w:t>
      </w:r>
      <w:r w:rsidR="001D6BFC" w:rsidRPr="00467EB9">
        <w:rPr>
          <w:rFonts w:cs="Arial"/>
          <w:color w:val="000000" w:themeColor="text1"/>
          <w:szCs w:val="24"/>
        </w:rPr>
        <w:t xml:space="preserve"> admissions</w:t>
      </w:r>
      <w:r w:rsidR="004541CF">
        <w:rPr>
          <w:rFonts w:cs="Arial"/>
          <w:color w:val="000000" w:themeColor="text1"/>
          <w:szCs w:val="24"/>
        </w:rPr>
        <w:t>/</w:t>
      </w:r>
      <w:r w:rsidR="001D6BFC" w:rsidRPr="00467EB9">
        <w:rPr>
          <w:rFonts w:cs="Arial"/>
          <w:color w:val="000000" w:themeColor="text1"/>
          <w:szCs w:val="24"/>
        </w:rPr>
        <w:t>referrals practice but also from the service provided to children once admitted.</w:t>
      </w:r>
    </w:p>
    <w:p w14:paraId="033EF910" w14:textId="77777777" w:rsidR="001D6BFC" w:rsidRPr="00D9136D" w:rsidRDefault="001D6BFC" w:rsidP="005E43B8">
      <w:pPr>
        <w:tabs>
          <w:tab w:val="left" w:pos="426"/>
        </w:tabs>
        <w:spacing w:line="288" w:lineRule="auto"/>
        <w:jc w:val="both"/>
        <w:rPr>
          <w:rFonts w:cs="Arial"/>
          <w:b/>
          <w:bCs/>
          <w:color w:val="000000" w:themeColor="text1"/>
          <w:sz w:val="24"/>
        </w:rPr>
      </w:pPr>
    </w:p>
    <w:p w14:paraId="457EB357" w14:textId="5CD21A11" w:rsidR="00917BA8" w:rsidRPr="00467EB9" w:rsidRDefault="00F04C43" w:rsidP="005E43B8">
      <w:pPr>
        <w:tabs>
          <w:tab w:val="left" w:pos="426"/>
        </w:tabs>
        <w:spacing w:line="288" w:lineRule="auto"/>
        <w:jc w:val="both"/>
        <w:rPr>
          <w:rFonts w:cs="Arial"/>
          <w:b/>
          <w:bCs/>
          <w:i/>
          <w:iCs/>
          <w:color w:val="000000" w:themeColor="text1"/>
          <w:sz w:val="24"/>
        </w:rPr>
      </w:pPr>
      <w:r w:rsidRPr="00467EB9">
        <w:rPr>
          <w:rFonts w:cs="Arial"/>
          <w:b/>
          <w:bCs/>
          <w:i/>
          <w:iCs/>
          <w:color w:val="000000" w:themeColor="text1"/>
          <w:sz w:val="24"/>
        </w:rPr>
        <w:t>P</w:t>
      </w:r>
      <w:r w:rsidR="00917BA8" w:rsidRPr="00467EB9">
        <w:rPr>
          <w:rFonts w:cs="Arial"/>
          <w:b/>
          <w:bCs/>
          <w:i/>
          <w:iCs/>
          <w:color w:val="000000" w:themeColor="text1"/>
          <w:sz w:val="24"/>
        </w:rPr>
        <w:t>roportiona</w:t>
      </w:r>
      <w:r w:rsidRPr="00467EB9">
        <w:rPr>
          <w:rFonts w:cs="Arial"/>
          <w:b/>
          <w:bCs/>
          <w:i/>
          <w:iCs/>
          <w:color w:val="000000" w:themeColor="text1"/>
          <w:sz w:val="24"/>
        </w:rPr>
        <w:t>lity</w:t>
      </w:r>
    </w:p>
    <w:p w14:paraId="12ECAD5E" w14:textId="77777777" w:rsidR="00A87BA6" w:rsidRPr="00467EB9" w:rsidRDefault="00A87BA6" w:rsidP="00A87BA6">
      <w:pPr>
        <w:pStyle w:val="ListParagraph"/>
        <w:tabs>
          <w:tab w:val="left" w:pos="426"/>
        </w:tabs>
        <w:spacing w:line="288" w:lineRule="auto"/>
        <w:ind w:left="360"/>
        <w:jc w:val="both"/>
        <w:rPr>
          <w:rFonts w:cs="Arial"/>
          <w:color w:val="000000" w:themeColor="text1"/>
          <w:szCs w:val="24"/>
        </w:rPr>
      </w:pPr>
    </w:p>
    <w:p w14:paraId="37C7E5CA" w14:textId="64026740" w:rsidR="001D6BFC" w:rsidRPr="00467EB9" w:rsidRDefault="00A87BA6" w:rsidP="001D6BFC">
      <w:pPr>
        <w:pStyle w:val="ListParagraph"/>
        <w:numPr>
          <w:ilvl w:val="0"/>
          <w:numId w:val="2"/>
        </w:numPr>
        <w:tabs>
          <w:tab w:val="left" w:pos="426"/>
        </w:tabs>
        <w:spacing w:line="288" w:lineRule="auto"/>
        <w:ind w:left="360" w:hanging="426"/>
        <w:jc w:val="both"/>
        <w:rPr>
          <w:rFonts w:cs="Arial"/>
          <w:color w:val="000000" w:themeColor="text1"/>
          <w:szCs w:val="24"/>
        </w:rPr>
      </w:pPr>
      <w:r w:rsidRPr="00467EB9">
        <w:rPr>
          <w:rFonts w:cs="Arial"/>
          <w:color w:val="000000" w:themeColor="text1"/>
          <w:szCs w:val="24"/>
        </w:rPr>
        <w:t xml:space="preserve">In all the circumstances, </w:t>
      </w:r>
      <w:r w:rsidR="00443669" w:rsidRPr="00467EB9">
        <w:rPr>
          <w:rFonts w:cs="Arial"/>
          <w:color w:val="000000" w:themeColor="text1"/>
          <w:szCs w:val="24"/>
        </w:rPr>
        <w:t>we are further</w:t>
      </w:r>
      <w:r w:rsidR="008570F6" w:rsidRPr="00467EB9">
        <w:rPr>
          <w:rFonts w:cs="Arial"/>
          <w:color w:val="000000" w:themeColor="text1"/>
          <w:szCs w:val="24"/>
        </w:rPr>
        <w:t xml:space="preserve"> satisfied that the </w:t>
      </w:r>
      <w:r w:rsidR="00F96DA8">
        <w:rPr>
          <w:rFonts w:cs="Arial"/>
          <w:color w:val="000000" w:themeColor="text1"/>
          <w:szCs w:val="24"/>
        </w:rPr>
        <w:t>Restriction</w:t>
      </w:r>
      <w:r w:rsidR="008570F6" w:rsidRPr="00467EB9">
        <w:rPr>
          <w:rFonts w:cs="Arial"/>
          <w:color w:val="000000" w:themeColor="text1"/>
          <w:szCs w:val="24"/>
        </w:rPr>
        <w:t xml:space="preserve"> is objectively justified as proportionate.</w:t>
      </w:r>
    </w:p>
    <w:p w14:paraId="4952F9B4" w14:textId="77777777" w:rsidR="001D6BFC" w:rsidRPr="00467EB9" w:rsidRDefault="001D6BFC" w:rsidP="001D6BFC">
      <w:pPr>
        <w:pStyle w:val="ListParagraph"/>
        <w:tabs>
          <w:tab w:val="left" w:pos="426"/>
        </w:tabs>
        <w:spacing w:line="288" w:lineRule="auto"/>
        <w:ind w:left="360"/>
        <w:jc w:val="both"/>
        <w:rPr>
          <w:rFonts w:cs="Arial"/>
          <w:color w:val="000000" w:themeColor="text1"/>
          <w:szCs w:val="24"/>
        </w:rPr>
      </w:pPr>
    </w:p>
    <w:p w14:paraId="29E59DF5" w14:textId="034176A3" w:rsidR="001D6BFC" w:rsidRPr="00467EB9" w:rsidRDefault="001D6BFC" w:rsidP="001D6BFC">
      <w:pPr>
        <w:pStyle w:val="ListParagraph"/>
        <w:numPr>
          <w:ilvl w:val="0"/>
          <w:numId w:val="2"/>
        </w:numPr>
        <w:tabs>
          <w:tab w:val="left" w:pos="426"/>
        </w:tabs>
        <w:spacing w:line="288" w:lineRule="auto"/>
        <w:ind w:left="360" w:hanging="426"/>
        <w:jc w:val="both"/>
        <w:rPr>
          <w:rFonts w:cs="Arial"/>
          <w:color w:val="000000" w:themeColor="text1"/>
          <w:szCs w:val="24"/>
        </w:rPr>
      </w:pPr>
      <w:r w:rsidRPr="00467EB9">
        <w:rPr>
          <w:rFonts w:cs="Arial"/>
          <w:color w:val="000000" w:themeColor="text1"/>
        </w:rPr>
        <w:t xml:space="preserve">First, we have formed the view that the harm contemplated is more than merely trivial or minor: it is, in our view, significant and potentially very serious. It could, realistically, include a significant level of physical, sexual, emotional, </w:t>
      </w:r>
      <w:r w:rsidR="00E83B51">
        <w:rPr>
          <w:rFonts w:cs="Arial"/>
          <w:color w:val="000000" w:themeColor="text1"/>
        </w:rPr>
        <w:t xml:space="preserve">financial </w:t>
      </w:r>
      <w:r w:rsidRPr="00467EB9">
        <w:rPr>
          <w:rFonts w:cs="Arial"/>
          <w:color w:val="000000" w:themeColor="text1"/>
        </w:rPr>
        <w:t xml:space="preserve">or developmental harm. We also think that the likelihood of the risk materialising is relatively high (or, at least, not low): the evidence before us suggests a </w:t>
      </w:r>
      <w:r w:rsidR="00F96DA8">
        <w:rPr>
          <w:rFonts w:cs="Arial"/>
          <w:color w:val="000000" w:themeColor="text1"/>
        </w:rPr>
        <w:t xml:space="preserve">potential </w:t>
      </w:r>
      <w:r w:rsidRPr="00467EB9">
        <w:rPr>
          <w:rFonts w:cs="Arial"/>
          <w:color w:val="000000" w:themeColor="text1"/>
        </w:rPr>
        <w:t>pattern of</w:t>
      </w:r>
      <w:r w:rsidR="00F96DA8">
        <w:rPr>
          <w:rFonts w:cs="Arial"/>
          <w:color w:val="000000" w:themeColor="text1"/>
        </w:rPr>
        <w:t xml:space="preserve"> actual</w:t>
      </w:r>
      <w:r w:rsidRPr="00467EB9">
        <w:rPr>
          <w:rFonts w:cs="Arial"/>
          <w:color w:val="000000" w:themeColor="text1"/>
        </w:rPr>
        <w:t xml:space="preserve"> issues in recent months; and there is no longer</w:t>
      </w:r>
      <w:r w:rsidR="00F96DA8">
        <w:rPr>
          <w:rFonts w:cs="Arial"/>
          <w:color w:val="000000" w:themeColor="text1"/>
        </w:rPr>
        <w:t>-term</w:t>
      </w:r>
      <w:r w:rsidRPr="00467EB9">
        <w:rPr>
          <w:rFonts w:cs="Arial"/>
          <w:color w:val="000000" w:themeColor="text1"/>
        </w:rPr>
        <w:t xml:space="preserve"> history, for this service, </w:t>
      </w:r>
      <w:r w:rsidR="00F96DA8">
        <w:rPr>
          <w:rFonts w:cs="Arial"/>
          <w:color w:val="000000" w:themeColor="text1"/>
        </w:rPr>
        <w:t>of</w:t>
      </w:r>
      <w:r w:rsidRPr="00467EB9">
        <w:rPr>
          <w:rFonts w:cs="Arial"/>
          <w:color w:val="000000" w:themeColor="text1"/>
        </w:rPr>
        <w:t xml:space="preserve"> </w:t>
      </w:r>
      <w:r w:rsidR="00F96DA8">
        <w:rPr>
          <w:rFonts w:cs="Arial"/>
          <w:color w:val="000000" w:themeColor="text1"/>
        </w:rPr>
        <w:t xml:space="preserve">strong and reliable </w:t>
      </w:r>
      <w:r w:rsidRPr="00467EB9">
        <w:rPr>
          <w:rFonts w:cs="Arial"/>
          <w:color w:val="000000" w:themeColor="text1"/>
        </w:rPr>
        <w:t>pr</w:t>
      </w:r>
      <w:r w:rsidR="00F96DA8">
        <w:rPr>
          <w:rFonts w:cs="Arial"/>
          <w:color w:val="000000" w:themeColor="text1"/>
        </w:rPr>
        <w:t>e</w:t>
      </w:r>
      <w:r w:rsidRPr="00467EB9">
        <w:rPr>
          <w:rFonts w:cs="Arial"/>
          <w:color w:val="000000" w:themeColor="text1"/>
        </w:rPr>
        <w:t xml:space="preserve">vious compliance. We have though, we stress, had regard to the positive </w:t>
      </w:r>
      <w:r w:rsidR="00F96DA8">
        <w:rPr>
          <w:rFonts w:cs="Arial"/>
          <w:color w:val="000000" w:themeColor="text1"/>
        </w:rPr>
        <w:t xml:space="preserve">documentary </w:t>
      </w:r>
      <w:r w:rsidRPr="00467EB9">
        <w:rPr>
          <w:rFonts w:cs="Arial"/>
          <w:color w:val="000000" w:themeColor="text1"/>
        </w:rPr>
        <w:t xml:space="preserve">evidence in support of the Appellant including, for example, the evidence about Mr Williams’s </w:t>
      </w:r>
      <w:r w:rsidR="00F96DA8">
        <w:rPr>
          <w:rFonts w:cs="Arial"/>
          <w:color w:val="000000" w:themeColor="text1"/>
        </w:rPr>
        <w:t xml:space="preserve">personal </w:t>
      </w:r>
      <w:r w:rsidRPr="00467EB9">
        <w:rPr>
          <w:rFonts w:cs="Arial"/>
          <w:color w:val="000000" w:themeColor="text1"/>
        </w:rPr>
        <w:t>dedication etc</w:t>
      </w:r>
      <w:r w:rsidR="00E83B51">
        <w:rPr>
          <w:rFonts w:cs="Arial"/>
          <w:color w:val="000000" w:themeColor="text1"/>
        </w:rPr>
        <w:t xml:space="preserve"> </w:t>
      </w:r>
      <w:r w:rsidRPr="00467EB9">
        <w:rPr>
          <w:rFonts w:cs="Arial"/>
          <w:color w:val="000000" w:themeColor="text1"/>
        </w:rPr>
        <w:t>but, at this point in time, in light of the other evidence, those things are not sufficient to reduce the risk profile enough. The fact that the potential impact of the risk is relatively high, and th</w:t>
      </w:r>
      <w:r w:rsidR="00F96DA8">
        <w:rPr>
          <w:rFonts w:cs="Arial"/>
          <w:color w:val="000000" w:themeColor="text1"/>
        </w:rPr>
        <w:t>at the</w:t>
      </w:r>
      <w:r w:rsidRPr="00467EB9">
        <w:rPr>
          <w:rFonts w:cs="Arial"/>
          <w:color w:val="000000" w:themeColor="text1"/>
        </w:rPr>
        <w:t xml:space="preserve"> likelihood </w:t>
      </w:r>
      <w:r w:rsidR="00BC57DE">
        <w:rPr>
          <w:rFonts w:cs="Arial"/>
          <w:color w:val="000000" w:themeColor="text1"/>
        </w:rPr>
        <w:t xml:space="preserve">of occurrence </w:t>
      </w:r>
      <w:r w:rsidRPr="00467EB9">
        <w:rPr>
          <w:rFonts w:cs="Arial"/>
          <w:color w:val="000000" w:themeColor="text1"/>
        </w:rPr>
        <w:t>is not low, means that the Restriction is more readily justified as proportionate to the risk.</w:t>
      </w:r>
    </w:p>
    <w:p w14:paraId="56F32FC9" w14:textId="77777777" w:rsidR="00D9136D" w:rsidRPr="00D9136D" w:rsidRDefault="00D9136D" w:rsidP="00D9136D">
      <w:pPr>
        <w:pStyle w:val="ListParagraph"/>
        <w:tabs>
          <w:tab w:val="left" w:pos="426"/>
        </w:tabs>
        <w:spacing w:line="288" w:lineRule="auto"/>
        <w:ind w:left="360"/>
        <w:jc w:val="both"/>
        <w:rPr>
          <w:rFonts w:cs="Arial"/>
          <w:color w:val="000000" w:themeColor="text1"/>
          <w:szCs w:val="24"/>
        </w:rPr>
      </w:pPr>
    </w:p>
    <w:p w14:paraId="7A75E2B2" w14:textId="4760234F" w:rsidR="00467EB9" w:rsidRPr="00467EB9" w:rsidRDefault="001D6BFC" w:rsidP="00467EB9">
      <w:pPr>
        <w:pStyle w:val="ListParagraph"/>
        <w:numPr>
          <w:ilvl w:val="0"/>
          <w:numId w:val="2"/>
        </w:numPr>
        <w:tabs>
          <w:tab w:val="left" w:pos="426"/>
        </w:tabs>
        <w:spacing w:line="288" w:lineRule="auto"/>
        <w:ind w:left="360" w:hanging="426"/>
        <w:jc w:val="both"/>
        <w:rPr>
          <w:rFonts w:cs="Arial"/>
          <w:color w:val="000000" w:themeColor="text1"/>
          <w:szCs w:val="24"/>
        </w:rPr>
      </w:pPr>
      <w:r w:rsidRPr="00467EB9">
        <w:rPr>
          <w:rFonts w:cs="Arial"/>
          <w:color w:val="000000" w:themeColor="text1"/>
        </w:rPr>
        <w:t>Second, t</w:t>
      </w:r>
      <w:r w:rsidR="00722A65" w:rsidRPr="00467EB9">
        <w:rPr>
          <w:rFonts w:cs="Arial"/>
          <w:color w:val="000000" w:themeColor="text1"/>
        </w:rPr>
        <w:t xml:space="preserve">here is a legitimate aim engaged. It is important. It </w:t>
      </w:r>
      <w:proofErr w:type="gramStart"/>
      <w:r w:rsidR="00722A65" w:rsidRPr="00467EB9">
        <w:rPr>
          <w:rFonts w:cs="Arial"/>
          <w:color w:val="000000" w:themeColor="text1"/>
        </w:rPr>
        <w:t>is</w:t>
      </w:r>
      <w:r w:rsidR="00443669" w:rsidRPr="00467EB9">
        <w:rPr>
          <w:rFonts w:cs="Arial"/>
          <w:color w:val="000000" w:themeColor="text1"/>
        </w:rPr>
        <w:t xml:space="preserve"> relates</w:t>
      </w:r>
      <w:proofErr w:type="gramEnd"/>
      <w:r w:rsidR="00443669" w:rsidRPr="00467EB9">
        <w:rPr>
          <w:rFonts w:cs="Arial"/>
          <w:color w:val="000000" w:themeColor="text1"/>
        </w:rPr>
        <w:t>, ultimately, to the</w:t>
      </w:r>
      <w:r w:rsidR="00722A65" w:rsidRPr="00467EB9">
        <w:rPr>
          <w:rFonts w:cs="Arial"/>
          <w:color w:val="000000" w:themeColor="text1"/>
        </w:rPr>
        <w:t xml:space="preserve"> protection of vulnerable children from </w:t>
      </w:r>
      <w:r w:rsidR="00F96DA8">
        <w:rPr>
          <w:rFonts w:cs="Arial"/>
          <w:color w:val="000000" w:themeColor="text1"/>
        </w:rPr>
        <w:t>the</w:t>
      </w:r>
      <w:r w:rsidR="00443669" w:rsidRPr="00467EB9">
        <w:rPr>
          <w:rFonts w:cs="Arial"/>
          <w:color w:val="000000" w:themeColor="text1"/>
        </w:rPr>
        <w:t xml:space="preserve"> risk of </w:t>
      </w:r>
      <w:r w:rsidRPr="00467EB9">
        <w:rPr>
          <w:rFonts w:cs="Arial"/>
          <w:color w:val="000000" w:themeColor="text1"/>
        </w:rPr>
        <w:t xml:space="preserve">significant </w:t>
      </w:r>
      <w:r w:rsidR="00722A65" w:rsidRPr="00467EB9">
        <w:rPr>
          <w:rFonts w:cs="Arial"/>
          <w:color w:val="000000" w:themeColor="text1"/>
        </w:rPr>
        <w:t xml:space="preserve">harm. The </w:t>
      </w:r>
      <w:r w:rsidRPr="00467EB9">
        <w:rPr>
          <w:rFonts w:cs="Arial"/>
          <w:color w:val="000000" w:themeColor="text1"/>
        </w:rPr>
        <w:t xml:space="preserve">Restriction </w:t>
      </w:r>
      <w:r w:rsidR="00722A65" w:rsidRPr="00467EB9">
        <w:rPr>
          <w:rFonts w:cs="Arial"/>
          <w:color w:val="000000" w:themeColor="text1"/>
        </w:rPr>
        <w:t>relates, directly, to the pursuance or achievement of that aim</w:t>
      </w:r>
      <w:r w:rsidR="0083485B" w:rsidRPr="00467EB9">
        <w:rPr>
          <w:rFonts w:cs="Arial"/>
          <w:color w:val="000000" w:themeColor="text1"/>
        </w:rPr>
        <w:t xml:space="preserve">. Its immediate purpose is to keep children safe during a period in which the </w:t>
      </w:r>
      <w:r w:rsidRPr="00467EB9">
        <w:rPr>
          <w:rFonts w:cs="Arial"/>
          <w:color w:val="000000" w:themeColor="text1"/>
        </w:rPr>
        <w:t xml:space="preserve">Appellant (or the Respondent) </w:t>
      </w:r>
      <w:r w:rsidR="0083485B" w:rsidRPr="00467EB9">
        <w:rPr>
          <w:rFonts w:cs="Arial"/>
          <w:color w:val="000000" w:themeColor="text1"/>
        </w:rPr>
        <w:t xml:space="preserve">takes </w:t>
      </w:r>
      <w:r w:rsidR="00F96DA8">
        <w:rPr>
          <w:rFonts w:cs="Arial"/>
          <w:color w:val="000000" w:themeColor="text1"/>
        </w:rPr>
        <w:t xml:space="preserve">necessary </w:t>
      </w:r>
      <w:r w:rsidR="0083485B" w:rsidRPr="00467EB9">
        <w:rPr>
          <w:rFonts w:cs="Arial"/>
          <w:color w:val="000000" w:themeColor="text1"/>
        </w:rPr>
        <w:t>steps to reduce the relevant risk to an acceptable level.</w:t>
      </w:r>
      <w:r w:rsidR="00F92711" w:rsidRPr="00467EB9">
        <w:rPr>
          <w:rFonts w:cs="Arial"/>
          <w:color w:val="000000" w:themeColor="text1"/>
        </w:rPr>
        <w:t xml:space="preserve"> </w:t>
      </w:r>
      <w:r w:rsidR="00467EB9" w:rsidRPr="00467EB9">
        <w:rPr>
          <w:rFonts w:cs="Arial"/>
          <w:color w:val="000000" w:themeColor="text1"/>
        </w:rPr>
        <w:t xml:space="preserve">Again, the importance of the aim means that the Restriction is </w:t>
      </w:r>
      <w:r w:rsidR="00467EB9" w:rsidRPr="00467EB9">
        <w:rPr>
          <w:rFonts w:cs="Arial"/>
          <w:color w:val="000000" w:themeColor="text1"/>
        </w:rPr>
        <w:lastRenderedPageBreak/>
        <w:t>more readily justified as proportionate.</w:t>
      </w:r>
    </w:p>
    <w:p w14:paraId="7DC51B19" w14:textId="77777777" w:rsidR="00D9136D" w:rsidRPr="00D9136D" w:rsidRDefault="00D9136D" w:rsidP="00D9136D">
      <w:pPr>
        <w:pStyle w:val="ListParagraph"/>
        <w:tabs>
          <w:tab w:val="left" w:pos="426"/>
        </w:tabs>
        <w:spacing w:line="288" w:lineRule="auto"/>
        <w:ind w:left="360"/>
        <w:jc w:val="both"/>
        <w:rPr>
          <w:rFonts w:cs="Arial"/>
          <w:color w:val="000000" w:themeColor="text1"/>
          <w:szCs w:val="24"/>
        </w:rPr>
      </w:pPr>
    </w:p>
    <w:p w14:paraId="76A15BA4" w14:textId="33263DFB" w:rsidR="00F96DA8" w:rsidRPr="00F96DA8" w:rsidRDefault="00467EB9" w:rsidP="00F96DA8">
      <w:pPr>
        <w:pStyle w:val="ListParagraph"/>
        <w:numPr>
          <w:ilvl w:val="0"/>
          <w:numId w:val="2"/>
        </w:numPr>
        <w:tabs>
          <w:tab w:val="left" w:pos="426"/>
        </w:tabs>
        <w:spacing w:line="288" w:lineRule="auto"/>
        <w:ind w:left="360" w:hanging="426"/>
        <w:jc w:val="both"/>
        <w:rPr>
          <w:rFonts w:cs="Arial"/>
          <w:color w:val="000000" w:themeColor="text1"/>
          <w:szCs w:val="24"/>
        </w:rPr>
      </w:pPr>
      <w:r w:rsidRPr="00467EB9">
        <w:rPr>
          <w:rFonts w:cs="Arial"/>
          <w:color w:val="000000" w:themeColor="text1"/>
        </w:rPr>
        <w:t>Third, w</w:t>
      </w:r>
      <w:r w:rsidR="00F92711" w:rsidRPr="00467EB9">
        <w:rPr>
          <w:rFonts w:cs="Arial"/>
          <w:color w:val="000000" w:themeColor="text1"/>
        </w:rPr>
        <w:t xml:space="preserve">e have </w:t>
      </w:r>
      <w:r w:rsidR="001D6BFC" w:rsidRPr="00467EB9">
        <w:rPr>
          <w:rFonts w:cs="Arial"/>
          <w:color w:val="000000" w:themeColor="text1"/>
        </w:rPr>
        <w:t xml:space="preserve">tried to </w:t>
      </w:r>
      <w:r w:rsidR="00F92711" w:rsidRPr="00467EB9">
        <w:rPr>
          <w:rFonts w:cs="Arial"/>
          <w:color w:val="000000" w:themeColor="text1"/>
        </w:rPr>
        <w:t>ha</w:t>
      </w:r>
      <w:r w:rsidR="001D6BFC" w:rsidRPr="00467EB9">
        <w:rPr>
          <w:rFonts w:cs="Arial"/>
          <w:color w:val="000000" w:themeColor="text1"/>
        </w:rPr>
        <w:t>ve</w:t>
      </w:r>
      <w:r w:rsidR="00F92711" w:rsidRPr="00467EB9">
        <w:rPr>
          <w:rFonts w:cs="Arial"/>
          <w:color w:val="000000" w:themeColor="text1"/>
        </w:rPr>
        <w:t xml:space="preserve"> careful regard to the adverse impact of the </w:t>
      </w:r>
      <w:r w:rsidR="001D6BFC" w:rsidRPr="00467EB9">
        <w:rPr>
          <w:rFonts w:cs="Arial"/>
          <w:color w:val="000000" w:themeColor="text1"/>
        </w:rPr>
        <w:t>Restrictio</w:t>
      </w:r>
      <w:r w:rsidRPr="00467EB9">
        <w:rPr>
          <w:rFonts w:cs="Arial"/>
          <w:color w:val="000000" w:themeColor="text1"/>
        </w:rPr>
        <w:t>n</w:t>
      </w:r>
      <w:r w:rsidR="00F92711" w:rsidRPr="00467EB9">
        <w:rPr>
          <w:rFonts w:cs="Arial"/>
          <w:color w:val="000000" w:themeColor="text1"/>
        </w:rPr>
        <w:t xml:space="preserve"> on the Appellant and </w:t>
      </w:r>
      <w:r w:rsidR="00F96DA8">
        <w:rPr>
          <w:rFonts w:cs="Arial"/>
          <w:color w:val="000000" w:themeColor="text1"/>
        </w:rPr>
        <w:t xml:space="preserve">any </w:t>
      </w:r>
      <w:r w:rsidR="00F92711" w:rsidRPr="00467EB9">
        <w:rPr>
          <w:rFonts w:cs="Arial"/>
          <w:color w:val="000000" w:themeColor="text1"/>
        </w:rPr>
        <w:t xml:space="preserve">other relevant people. We </w:t>
      </w:r>
      <w:r w:rsidRPr="00467EB9">
        <w:rPr>
          <w:rFonts w:cs="Arial"/>
          <w:color w:val="000000" w:themeColor="text1"/>
        </w:rPr>
        <w:t>can see</w:t>
      </w:r>
      <w:r w:rsidR="00F92711" w:rsidRPr="00467EB9">
        <w:rPr>
          <w:rFonts w:cs="Arial"/>
          <w:color w:val="000000" w:themeColor="text1"/>
        </w:rPr>
        <w:t xml:space="preserve"> that the matter, generally,</w:t>
      </w:r>
      <w:r w:rsidRPr="00467EB9">
        <w:rPr>
          <w:rFonts w:cs="Arial"/>
          <w:color w:val="000000" w:themeColor="text1"/>
        </w:rPr>
        <w:t xml:space="preserve"> may</w:t>
      </w:r>
      <w:r w:rsidR="00F92711" w:rsidRPr="00467EB9">
        <w:rPr>
          <w:rFonts w:cs="Arial"/>
          <w:color w:val="000000" w:themeColor="text1"/>
        </w:rPr>
        <w:t xml:space="preserve"> </w:t>
      </w:r>
      <w:r w:rsidRPr="00467EB9">
        <w:rPr>
          <w:rFonts w:cs="Arial"/>
          <w:color w:val="000000" w:themeColor="text1"/>
        </w:rPr>
        <w:t xml:space="preserve">well </w:t>
      </w:r>
      <w:r w:rsidR="00F92711" w:rsidRPr="00467EB9">
        <w:rPr>
          <w:rFonts w:cs="Arial"/>
          <w:color w:val="000000" w:themeColor="text1"/>
        </w:rPr>
        <w:t>ha</w:t>
      </w:r>
      <w:r w:rsidRPr="00467EB9">
        <w:rPr>
          <w:rFonts w:cs="Arial"/>
          <w:color w:val="000000" w:themeColor="text1"/>
        </w:rPr>
        <w:t>ve</w:t>
      </w:r>
      <w:r w:rsidR="00F92711" w:rsidRPr="00467EB9">
        <w:rPr>
          <w:rFonts w:cs="Arial"/>
          <w:color w:val="000000" w:themeColor="text1"/>
        </w:rPr>
        <w:t xml:space="preserve"> a</w:t>
      </w:r>
      <w:r w:rsidRPr="00467EB9">
        <w:rPr>
          <w:rFonts w:cs="Arial"/>
          <w:color w:val="000000" w:themeColor="text1"/>
        </w:rPr>
        <w:t>n adverse</w:t>
      </w:r>
      <w:r w:rsidR="00F92711" w:rsidRPr="00467EB9">
        <w:rPr>
          <w:rFonts w:cs="Arial"/>
          <w:color w:val="000000" w:themeColor="text1"/>
        </w:rPr>
        <w:t xml:space="preserve"> impact on the Appellant</w:t>
      </w:r>
      <w:r w:rsidRPr="00467EB9">
        <w:rPr>
          <w:rFonts w:cs="Arial"/>
          <w:color w:val="000000" w:themeColor="text1"/>
        </w:rPr>
        <w:t xml:space="preserve"> and</w:t>
      </w:r>
      <w:r w:rsidR="00F96DA8">
        <w:rPr>
          <w:rFonts w:cs="Arial"/>
          <w:color w:val="000000" w:themeColor="text1"/>
        </w:rPr>
        <w:t xml:space="preserve"> some</w:t>
      </w:r>
      <w:r w:rsidRPr="00467EB9">
        <w:rPr>
          <w:rFonts w:cs="Arial"/>
          <w:color w:val="000000" w:themeColor="text1"/>
        </w:rPr>
        <w:t xml:space="preserve"> people related to it</w:t>
      </w:r>
      <w:r w:rsidR="00F92711" w:rsidRPr="00467EB9">
        <w:rPr>
          <w:rFonts w:cs="Arial"/>
          <w:color w:val="000000" w:themeColor="text1"/>
        </w:rPr>
        <w:t>.</w:t>
      </w:r>
      <w:r w:rsidRPr="00467EB9">
        <w:rPr>
          <w:rFonts w:cs="Arial"/>
          <w:color w:val="000000" w:themeColor="text1"/>
        </w:rPr>
        <w:t xml:space="preserve"> But there is a lack of</w:t>
      </w:r>
      <w:r w:rsidR="00F96DA8">
        <w:rPr>
          <w:rFonts w:cs="Arial"/>
          <w:color w:val="000000" w:themeColor="text1"/>
        </w:rPr>
        <w:t xml:space="preserve"> direct or persuasive</w:t>
      </w:r>
      <w:r w:rsidRPr="00467EB9">
        <w:rPr>
          <w:rFonts w:cs="Arial"/>
          <w:color w:val="000000" w:themeColor="text1"/>
        </w:rPr>
        <w:t xml:space="preserve"> evidence from the Appellant about the nature and degree of that impact. </w:t>
      </w:r>
      <w:r w:rsidR="00F92711" w:rsidRPr="00467EB9">
        <w:rPr>
          <w:rFonts w:cs="Arial"/>
          <w:color w:val="000000" w:themeColor="text1"/>
        </w:rPr>
        <w:t xml:space="preserve">There is no </w:t>
      </w:r>
      <w:r w:rsidR="00436AC2" w:rsidRPr="00467EB9">
        <w:rPr>
          <w:rFonts w:cs="Arial"/>
          <w:color w:val="000000" w:themeColor="text1"/>
        </w:rPr>
        <w:t xml:space="preserve">sufficient </w:t>
      </w:r>
      <w:r w:rsidR="00F92711" w:rsidRPr="00467EB9">
        <w:rPr>
          <w:rFonts w:cs="Arial"/>
          <w:color w:val="000000" w:themeColor="text1"/>
        </w:rPr>
        <w:t xml:space="preserve">evidence before us that the </w:t>
      </w:r>
      <w:r w:rsidRPr="00467EB9">
        <w:rPr>
          <w:rFonts w:cs="Arial"/>
          <w:color w:val="000000" w:themeColor="text1"/>
        </w:rPr>
        <w:t xml:space="preserve">Appellant, </w:t>
      </w:r>
      <w:r w:rsidR="00F96DA8">
        <w:rPr>
          <w:rFonts w:cs="Arial"/>
          <w:color w:val="000000" w:themeColor="text1"/>
        </w:rPr>
        <w:t xml:space="preserve">or </w:t>
      </w:r>
      <w:r w:rsidRPr="00467EB9">
        <w:rPr>
          <w:rFonts w:cs="Arial"/>
          <w:color w:val="000000" w:themeColor="text1"/>
        </w:rPr>
        <w:t xml:space="preserve">any relevant </w:t>
      </w:r>
      <w:r w:rsidR="00F92711" w:rsidRPr="00467EB9">
        <w:rPr>
          <w:rFonts w:cs="Arial"/>
          <w:color w:val="000000" w:themeColor="text1"/>
        </w:rPr>
        <w:t>children or others, are</w:t>
      </w:r>
      <w:r w:rsidR="00436AC2" w:rsidRPr="00467EB9">
        <w:rPr>
          <w:rFonts w:cs="Arial"/>
          <w:color w:val="000000" w:themeColor="text1"/>
        </w:rPr>
        <w:t xml:space="preserve">, as a result of the </w:t>
      </w:r>
      <w:r w:rsidRPr="00467EB9">
        <w:rPr>
          <w:rFonts w:cs="Arial"/>
          <w:color w:val="000000" w:themeColor="text1"/>
        </w:rPr>
        <w:t>Restriction</w:t>
      </w:r>
      <w:r w:rsidR="00CB7D2B" w:rsidRPr="00467EB9">
        <w:rPr>
          <w:rFonts w:cs="Arial"/>
          <w:color w:val="000000" w:themeColor="text1"/>
        </w:rPr>
        <w:t>,</w:t>
      </w:r>
      <w:r w:rsidR="00436AC2" w:rsidRPr="00467EB9">
        <w:rPr>
          <w:rFonts w:cs="Arial"/>
          <w:color w:val="000000" w:themeColor="text1"/>
        </w:rPr>
        <w:t xml:space="preserve"> disproportionately impacted. </w:t>
      </w:r>
      <w:r w:rsidR="00F96DA8">
        <w:rPr>
          <w:rFonts w:cs="Arial"/>
          <w:color w:val="000000" w:themeColor="text1"/>
        </w:rPr>
        <w:t>W</w:t>
      </w:r>
      <w:r w:rsidR="00436AC2" w:rsidRPr="00467EB9">
        <w:rPr>
          <w:rFonts w:cs="Arial"/>
          <w:color w:val="000000" w:themeColor="text1"/>
        </w:rPr>
        <w:t xml:space="preserve">e are content </w:t>
      </w:r>
      <w:r w:rsidR="00CB7D2B" w:rsidRPr="00467EB9">
        <w:rPr>
          <w:rFonts w:cs="Arial"/>
          <w:color w:val="000000" w:themeColor="text1"/>
        </w:rPr>
        <w:t xml:space="preserve">that </w:t>
      </w:r>
      <w:r w:rsidR="00436AC2" w:rsidRPr="00467EB9">
        <w:rPr>
          <w:rFonts w:cs="Arial"/>
          <w:color w:val="000000" w:themeColor="text1"/>
        </w:rPr>
        <w:t>the importance of the legitimate aim(s) being pursued outweigh</w:t>
      </w:r>
      <w:r w:rsidR="00F96DA8">
        <w:rPr>
          <w:rFonts w:cs="Arial"/>
          <w:color w:val="000000" w:themeColor="text1"/>
        </w:rPr>
        <w:t>s</w:t>
      </w:r>
      <w:r w:rsidR="00436AC2" w:rsidRPr="00467EB9">
        <w:rPr>
          <w:rFonts w:cs="Arial"/>
          <w:color w:val="000000" w:themeColor="text1"/>
        </w:rPr>
        <w:t xml:space="preserve"> the </w:t>
      </w:r>
      <w:r w:rsidRPr="00467EB9">
        <w:rPr>
          <w:rFonts w:cs="Arial"/>
          <w:color w:val="000000" w:themeColor="text1"/>
        </w:rPr>
        <w:t xml:space="preserve">adverse </w:t>
      </w:r>
      <w:r w:rsidR="00436AC2" w:rsidRPr="00467EB9">
        <w:rPr>
          <w:rFonts w:cs="Arial"/>
          <w:color w:val="000000" w:themeColor="text1"/>
        </w:rPr>
        <w:t xml:space="preserve">impact; and </w:t>
      </w:r>
      <w:r w:rsidR="00CB7D2B" w:rsidRPr="00467EB9">
        <w:rPr>
          <w:rFonts w:cs="Arial"/>
          <w:color w:val="000000" w:themeColor="text1"/>
        </w:rPr>
        <w:t xml:space="preserve">that </w:t>
      </w:r>
      <w:r w:rsidRPr="00467EB9">
        <w:rPr>
          <w:rFonts w:cs="Arial"/>
          <w:color w:val="000000" w:themeColor="text1"/>
        </w:rPr>
        <w:t>it is</w:t>
      </w:r>
      <w:r w:rsidR="00436AC2" w:rsidRPr="00467EB9">
        <w:rPr>
          <w:rFonts w:cs="Arial"/>
          <w:color w:val="000000" w:themeColor="text1"/>
        </w:rPr>
        <w:t xml:space="preserve"> proportionate at present.</w:t>
      </w:r>
      <w:r w:rsidR="00F96DA8">
        <w:rPr>
          <w:rFonts w:cs="Arial"/>
          <w:color w:val="000000" w:themeColor="text1"/>
        </w:rPr>
        <w:t xml:space="preserve"> In forming that view, we had in mind the </w:t>
      </w:r>
      <w:r w:rsidR="00F96DA8" w:rsidRPr="00F96DA8">
        <w:rPr>
          <w:rFonts w:cs="Arial"/>
          <w:color w:val="000000" w:themeColor="text1"/>
        </w:rPr>
        <w:t>limited time</w:t>
      </w:r>
      <w:r w:rsidR="00F96DA8">
        <w:rPr>
          <w:rFonts w:cs="Arial"/>
          <w:color w:val="000000" w:themeColor="text1"/>
        </w:rPr>
        <w:t xml:space="preserve"> period of the Restriction and the obligation on the Respondent to actively keep it under r</w:t>
      </w:r>
      <w:r w:rsidR="00F96DA8" w:rsidRPr="00F96DA8">
        <w:rPr>
          <w:rFonts w:cs="Arial"/>
          <w:color w:val="000000" w:themeColor="text1"/>
        </w:rPr>
        <w:t>egular review</w:t>
      </w:r>
      <w:r w:rsidR="00F96DA8">
        <w:rPr>
          <w:rFonts w:cs="Arial"/>
          <w:color w:val="000000" w:themeColor="text1"/>
        </w:rPr>
        <w:t xml:space="preserve"> (and to lift it should the Appellant demonstrate a sufficient material change in the situation etc).</w:t>
      </w:r>
    </w:p>
    <w:p w14:paraId="3EFEE921" w14:textId="77777777" w:rsidR="00467EB9" w:rsidRPr="00467EB9" w:rsidRDefault="00467EB9" w:rsidP="00467EB9">
      <w:pPr>
        <w:pStyle w:val="ListParagraph"/>
        <w:tabs>
          <w:tab w:val="left" w:pos="426"/>
        </w:tabs>
        <w:spacing w:line="288" w:lineRule="auto"/>
        <w:ind w:left="360"/>
        <w:jc w:val="both"/>
        <w:rPr>
          <w:rFonts w:cs="Arial"/>
          <w:color w:val="000000" w:themeColor="text1"/>
          <w:szCs w:val="24"/>
        </w:rPr>
      </w:pPr>
    </w:p>
    <w:p w14:paraId="630DE92B" w14:textId="4BC15EF6" w:rsidR="00467EB9" w:rsidRPr="00FB2D33" w:rsidRDefault="00467EB9" w:rsidP="00FB2D33">
      <w:pPr>
        <w:pStyle w:val="ListParagraph"/>
        <w:numPr>
          <w:ilvl w:val="0"/>
          <w:numId w:val="2"/>
        </w:numPr>
        <w:tabs>
          <w:tab w:val="left" w:pos="426"/>
        </w:tabs>
        <w:spacing w:line="288" w:lineRule="auto"/>
        <w:ind w:left="360" w:hanging="426"/>
        <w:jc w:val="both"/>
        <w:rPr>
          <w:rFonts w:cs="Arial"/>
          <w:color w:val="000000" w:themeColor="text1"/>
          <w:szCs w:val="24"/>
        </w:rPr>
      </w:pPr>
      <w:r w:rsidRPr="00467EB9">
        <w:rPr>
          <w:rFonts w:cs="Arial"/>
          <w:color w:val="000000" w:themeColor="text1"/>
        </w:rPr>
        <w:t>Fourth, w</w:t>
      </w:r>
      <w:r w:rsidR="00436AC2" w:rsidRPr="00467EB9">
        <w:rPr>
          <w:rFonts w:cs="Arial"/>
          <w:color w:val="000000" w:themeColor="text1"/>
        </w:rPr>
        <w:t xml:space="preserve">e are </w:t>
      </w:r>
      <w:r w:rsidRPr="00467EB9">
        <w:rPr>
          <w:rFonts w:cs="Arial"/>
          <w:color w:val="000000" w:themeColor="text1"/>
        </w:rPr>
        <w:t>further</w:t>
      </w:r>
      <w:r w:rsidR="00436AC2" w:rsidRPr="00467EB9">
        <w:rPr>
          <w:rFonts w:cs="Arial"/>
          <w:color w:val="000000" w:themeColor="text1"/>
        </w:rPr>
        <w:t xml:space="preserve"> satisfied that the legitimate aim(s) cannot </w:t>
      </w:r>
      <w:r w:rsidR="00F96DA8">
        <w:rPr>
          <w:rFonts w:cs="Arial"/>
          <w:color w:val="000000" w:themeColor="text1"/>
        </w:rPr>
        <w:t xml:space="preserve">realistically </w:t>
      </w:r>
      <w:r w:rsidR="00436AC2" w:rsidRPr="00467EB9">
        <w:rPr>
          <w:rFonts w:cs="Arial"/>
          <w:color w:val="000000" w:themeColor="text1"/>
        </w:rPr>
        <w:t xml:space="preserve">be achieved adequately by any less-restrictive </w:t>
      </w:r>
      <w:r w:rsidR="00CB7D2B" w:rsidRPr="00467EB9">
        <w:rPr>
          <w:rFonts w:cs="Arial"/>
          <w:color w:val="000000" w:themeColor="text1"/>
        </w:rPr>
        <w:t>measure.</w:t>
      </w:r>
      <w:r w:rsidRPr="00467EB9">
        <w:rPr>
          <w:rFonts w:cs="Arial"/>
          <w:color w:val="000000" w:themeColor="text1"/>
        </w:rPr>
        <w:t xml:space="preserve"> The evidence indicates that, in essence, other less-restrictive measures have </w:t>
      </w:r>
      <w:r w:rsidRPr="00F96DA8">
        <w:rPr>
          <w:rFonts w:cs="Arial"/>
          <w:i/>
          <w:iCs/>
          <w:color w:val="000000" w:themeColor="text1"/>
        </w:rPr>
        <w:t>already</w:t>
      </w:r>
      <w:r w:rsidRPr="00467EB9">
        <w:rPr>
          <w:rFonts w:cs="Arial"/>
          <w:color w:val="000000" w:themeColor="text1"/>
        </w:rPr>
        <w:t xml:space="preserve"> been tried – and have probably not been sufficiently effective. It therefore appears both appropriate and reasonably necessary, in our view, to take the next</w:t>
      </w:r>
      <w:r w:rsidR="00FB2D33">
        <w:rPr>
          <w:rFonts w:cs="Arial"/>
          <w:color w:val="000000" w:themeColor="text1"/>
        </w:rPr>
        <w:t xml:space="preserve"> step</w:t>
      </w:r>
      <w:r w:rsidRPr="00467EB9">
        <w:rPr>
          <w:rFonts w:cs="Arial"/>
          <w:color w:val="000000" w:themeColor="text1"/>
        </w:rPr>
        <w:t xml:space="preserve"> up: i.e. to put, and</w:t>
      </w:r>
      <w:r w:rsidR="00FB2D33">
        <w:rPr>
          <w:rFonts w:cs="Arial"/>
          <w:color w:val="000000" w:themeColor="text1"/>
        </w:rPr>
        <w:t xml:space="preserve"> to</w:t>
      </w:r>
      <w:r w:rsidRPr="00467EB9">
        <w:rPr>
          <w:rFonts w:cs="Arial"/>
          <w:color w:val="000000" w:themeColor="text1"/>
        </w:rPr>
        <w:t xml:space="preserve"> keep, in place the Restriction. The Respondent m</w:t>
      </w:r>
      <w:r w:rsidR="00FB2D33">
        <w:rPr>
          <w:rFonts w:cs="Arial"/>
          <w:color w:val="000000" w:themeColor="text1"/>
        </w:rPr>
        <w:t>ight potentially</w:t>
      </w:r>
      <w:r w:rsidRPr="00467EB9">
        <w:rPr>
          <w:rFonts w:cs="Arial"/>
          <w:color w:val="000000" w:themeColor="text1"/>
        </w:rPr>
        <w:t xml:space="preserve"> have considered going</w:t>
      </w:r>
      <w:r w:rsidR="00FB2D33">
        <w:rPr>
          <w:rFonts w:cs="Arial"/>
          <w:color w:val="000000" w:themeColor="text1"/>
        </w:rPr>
        <w:t xml:space="preserve"> even</w:t>
      </w:r>
      <w:r w:rsidRPr="00467EB9">
        <w:rPr>
          <w:rFonts w:cs="Arial"/>
          <w:color w:val="000000" w:themeColor="text1"/>
        </w:rPr>
        <w:t xml:space="preserve"> further but elected to </w:t>
      </w:r>
      <w:r w:rsidR="00FB2D33">
        <w:rPr>
          <w:rFonts w:cs="Arial"/>
          <w:color w:val="000000" w:themeColor="text1"/>
        </w:rPr>
        <w:t>restrict</w:t>
      </w:r>
      <w:r w:rsidRPr="00467EB9">
        <w:rPr>
          <w:rFonts w:cs="Arial"/>
          <w:color w:val="000000" w:themeColor="text1"/>
        </w:rPr>
        <w:t xml:space="preserve"> the nature of the intervention to a time-limited restriction. That, in our view, continues to be proportionate overall.</w:t>
      </w:r>
      <w:r w:rsidR="00FB2D33">
        <w:rPr>
          <w:rFonts w:cs="Arial"/>
          <w:color w:val="000000" w:themeColor="text1"/>
        </w:rPr>
        <w:t xml:space="preserve"> </w:t>
      </w:r>
      <w:r w:rsidR="00436AC2" w:rsidRPr="00FB2D33">
        <w:rPr>
          <w:rFonts w:cs="Arial"/>
          <w:color w:val="000000" w:themeColor="text1"/>
        </w:rPr>
        <w:t xml:space="preserve">Our decision is based, as it </w:t>
      </w:r>
      <w:r w:rsidR="00CB7D2B" w:rsidRPr="00FB2D33">
        <w:rPr>
          <w:rFonts w:cs="Arial"/>
          <w:color w:val="000000" w:themeColor="text1"/>
        </w:rPr>
        <w:t>must</w:t>
      </w:r>
      <w:r w:rsidR="00436AC2" w:rsidRPr="00FB2D33">
        <w:rPr>
          <w:rFonts w:cs="Arial"/>
          <w:color w:val="000000" w:themeColor="text1"/>
        </w:rPr>
        <w:t xml:space="preserve"> be, at the time of the </w:t>
      </w:r>
      <w:r w:rsidR="00FB2D33" w:rsidRPr="00FB2D33">
        <w:rPr>
          <w:rFonts w:cs="Arial"/>
          <w:color w:val="000000" w:themeColor="text1"/>
        </w:rPr>
        <w:t>H</w:t>
      </w:r>
      <w:r w:rsidR="00436AC2" w:rsidRPr="00FB2D33">
        <w:rPr>
          <w:rFonts w:cs="Arial"/>
          <w:color w:val="000000" w:themeColor="text1"/>
        </w:rPr>
        <w:t xml:space="preserve">earing and on the basis that the </w:t>
      </w:r>
      <w:r w:rsidRPr="00FB2D33">
        <w:rPr>
          <w:rFonts w:cs="Arial"/>
          <w:color w:val="000000" w:themeColor="text1"/>
        </w:rPr>
        <w:t>Restriction</w:t>
      </w:r>
      <w:r w:rsidR="00436AC2" w:rsidRPr="00FB2D33">
        <w:rPr>
          <w:rFonts w:cs="Arial"/>
          <w:color w:val="000000" w:themeColor="text1"/>
        </w:rPr>
        <w:t xml:space="preserve"> is due </w:t>
      </w:r>
      <w:r w:rsidRPr="00FB2D33">
        <w:rPr>
          <w:rFonts w:cs="Arial"/>
          <w:color w:val="000000" w:themeColor="text1"/>
        </w:rPr>
        <w:t xml:space="preserve">(in principle at least) </w:t>
      </w:r>
      <w:r w:rsidR="00436AC2" w:rsidRPr="00FB2D33">
        <w:rPr>
          <w:rFonts w:cs="Arial"/>
          <w:color w:val="000000" w:themeColor="text1"/>
        </w:rPr>
        <w:t xml:space="preserve">to end </w:t>
      </w:r>
      <w:r w:rsidRPr="00FB2D33">
        <w:rPr>
          <w:rFonts w:cs="Arial"/>
          <w:color w:val="000000" w:themeColor="text1"/>
        </w:rPr>
        <w:t xml:space="preserve">relatively </w:t>
      </w:r>
      <w:r w:rsidR="00436AC2" w:rsidRPr="00FB2D33">
        <w:rPr>
          <w:rFonts w:cs="Arial"/>
          <w:color w:val="000000" w:themeColor="text1"/>
        </w:rPr>
        <w:t xml:space="preserve">shortly (on </w:t>
      </w:r>
      <w:r w:rsidRPr="00FB2D33">
        <w:rPr>
          <w:rFonts w:cs="Arial"/>
          <w:color w:val="000000" w:themeColor="text1"/>
        </w:rPr>
        <w:t>3 October</w:t>
      </w:r>
      <w:r w:rsidR="00436AC2" w:rsidRPr="00FB2D33">
        <w:rPr>
          <w:rFonts w:cs="Arial"/>
          <w:color w:val="000000" w:themeColor="text1"/>
        </w:rPr>
        <w:t xml:space="preserve"> 2025). </w:t>
      </w:r>
    </w:p>
    <w:p w14:paraId="2BBBC33C" w14:textId="77777777" w:rsidR="00467EB9" w:rsidRPr="00467EB9" w:rsidRDefault="00467EB9" w:rsidP="00467EB9">
      <w:pPr>
        <w:pStyle w:val="ListParagraph"/>
        <w:tabs>
          <w:tab w:val="left" w:pos="426"/>
        </w:tabs>
        <w:spacing w:line="288" w:lineRule="auto"/>
        <w:ind w:left="360"/>
        <w:jc w:val="both"/>
        <w:rPr>
          <w:rFonts w:cs="Arial"/>
          <w:color w:val="000000" w:themeColor="text1"/>
          <w:szCs w:val="24"/>
        </w:rPr>
      </w:pPr>
    </w:p>
    <w:p w14:paraId="4A43C143" w14:textId="35A48EC1" w:rsidR="00467EB9" w:rsidRPr="00467EB9" w:rsidRDefault="00180053" w:rsidP="00467EB9">
      <w:pPr>
        <w:pStyle w:val="ListParagraph"/>
        <w:numPr>
          <w:ilvl w:val="0"/>
          <w:numId w:val="2"/>
        </w:numPr>
        <w:tabs>
          <w:tab w:val="left" w:pos="426"/>
        </w:tabs>
        <w:spacing w:line="288" w:lineRule="auto"/>
        <w:ind w:left="360" w:hanging="426"/>
        <w:jc w:val="both"/>
        <w:rPr>
          <w:rFonts w:cs="Arial"/>
          <w:color w:val="000000" w:themeColor="text1"/>
          <w:szCs w:val="24"/>
        </w:rPr>
      </w:pPr>
      <w:r w:rsidRPr="00467EB9">
        <w:rPr>
          <w:rFonts w:cs="Arial"/>
          <w:bCs/>
          <w:color w:val="000000" w:themeColor="text1"/>
        </w:rPr>
        <w:t xml:space="preserve">In </w:t>
      </w:r>
      <w:r w:rsidR="00436AC2" w:rsidRPr="00467EB9">
        <w:rPr>
          <w:rFonts w:cs="Arial"/>
          <w:bCs/>
          <w:color w:val="000000" w:themeColor="text1"/>
        </w:rPr>
        <w:t xml:space="preserve">our judgment, </w:t>
      </w:r>
      <w:r w:rsidR="00467EB9" w:rsidRPr="00467EB9">
        <w:rPr>
          <w:rFonts w:cs="Arial"/>
          <w:bCs/>
          <w:color w:val="000000" w:themeColor="text1"/>
        </w:rPr>
        <w:t xml:space="preserve">therefore, </w:t>
      </w:r>
      <w:r w:rsidRPr="00467EB9">
        <w:rPr>
          <w:rFonts w:cs="Arial"/>
          <w:bCs/>
          <w:color w:val="000000" w:themeColor="text1"/>
        </w:rPr>
        <w:t>t</w:t>
      </w:r>
      <w:r w:rsidR="006C057C" w:rsidRPr="00467EB9">
        <w:rPr>
          <w:rFonts w:cs="Arial"/>
          <w:bCs/>
          <w:color w:val="000000" w:themeColor="text1"/>
        </w:rPr>
        <w:t>he Decision was rational, proportionate</w:t>
      </w:r>
      <w:r w:rsidR="005F0C36">
        <w:rPr>
          <w:rFonts w:cs="Arial"/>
          <w:bCs/>
          <w:color w:val="000000" w:themeColor="text1"/>
        </w:rPr>
        <w:t>,</w:t>
      </w:r>
      <w:r w:rsidR="006C057C" w:rsidRPr="00467EB9">
        <w:rPr>
          <w:rFonts w:cs="Arial"/>
          <w:bCs/>
          <w:color w:val="000000" w:themeColor="text1"/>
        </w:rPr>
        <w:t xml:space="preserve"> and lawful</w:t>
      </w:r>
      <w:r w:rsidR="005F0C36">
        <w:rPr>
          <w:rFonts w:cs="Arial"/>
          <w:bCs/>
          <w:color w:val="000000" w:themeColor="text1"/>
        </w:rPr>
        <w:t>;</w:t>
      </w:r>
      <w:r w:rsidR="006C057C" w:rsidRPr="00467EB9">
        <w:rPr>
          <w:rFonts w:cs="Arial"/>
          <w:bCs/>
          <w:color w:val="000000" w:themeColor="text1"/>
        </w:rPr>
        <w:t xml:space="preserve"> and</w:t>
      </w:r>
      <w:r w:rsidR="005F0C36">
        <w:rPr>
          <w:rFonts w:cs="Arial"/>
          <w:bCs/>
          <w:color w:val="000000" w:themeColor="text1"/>
        </w:rPr>
        <w:t xml:space="preserve"> it</w:t>
      </w:r>
      <w:r w:rsidR="006C057C" w:rsidRPr="00467EB9">
        <w:rPr>
          <w:rFonts w:cs="Arial"/>
          <w:bCs/>
          <w:color w:val="000000" w:themeColor="text1"/>
        </w:rPr>
        <w:t xml:space="preserve"> continues</w:t>
      </w:r>
      <w:r w:rsidR="00CB7D2B" w:rsidRPr="00467EB9">
        <w:rPr>
          <w:rFonts w:cs="Arial"/>
          <w:bCs/>
          <w:color w:val="000000" w:themeColor="text1"/>
        </w:rPr>
        <w:t xml:space="preserve"> – for now</w:t>
      </w:r>
      <w:r w:rsidR="00467EB9" w:rsidRPr="00467EB9">
        <w:rPr>
          <w:rFonts w:cs="Arial"/>
          <w:bCs/>
          <w:color w:val="000000" w:themeColor="text1"/>
        </w:rPr>
        <w:t xml:space="preserve"> at least</w:t>
      </w:r>
      <w:r w:rsidR="00CB7D2B" w:rsidRPr="00467EB9">
        <w:rPr>
          <w:rFonts w:cs="Arial"/>
          <w:bCs/>
          <w:color w:val="000000" w:themeColor="text1"/>
        </w:rPr>
        <w:t xml:space="preserve"> – </w:t>
      </w:r>
      <w:r w:rsidR="006C057C" w:rsidRPr="00467EB9">
        <w:rPr>
          <w:rFonts w:cs="Arial"/>
          <w:bCs/>
          <w:color w:val="000000" w:themeColor="text1"/>
        </w:rPr>
        <w:t>to be</w:t>
      </w:r>
      <w:r w:rsidR="005F0C36">
        <w:rPr>
          <w:rFonts w:cs="Arial"/>
          <w:bCs/>
          <w:color w:val="000000" w:themeColor="text1"/>
        </w:rPr>
        <w:t xml:space="preserve"> so</w:t>
      </w:r>
      <w:r w:rsidR="006C057C" w:rsidRPr="00467EB9">
        <w:rPr>
          <w:rFonts w:cs="Arial"/>
          <w:bCs/>
          <w:color w:val="000000" w:themeColor="text1"/>
        </w:rPr>
        <w:t>.</w:t>
      </w:r>
    </w:p>
    <w:p w14:paraId="0BD22119" w14:textId="77777777" w:rsidR="00884E62" w:rsidRDefault="00884E62" w:rsidP="00467EB9">
      <w:pPr>
        <w:tabs>
          <w:tab w:val="left" w:pos="426"/>
        </w:tabs>
        <w:spacing w:line="288" w:lineRule="auto"/>
        <w:jc w:val="both"/>
        <w:rPr>
          <w:rFonts w:cs="Arial"/>
          <w:b/>
          <w:color w:val="000000" w:themeColor="text1"/>
          <w:sz w:val="24"/>
        </w:rPr>
      </w:pPr>
    </w:p>
    <w:p w14:paraId="20EF8680" w14:textId="7DA05B0E" w:rsidR="00467EB9" w:rsidRPr="00467EB9" w:rsidRDefault="00467EB9" w:rsidP="00467EB9">
      <w:pPr>
        <w:tabs>
          <w:tab w:val="left" w:pos="426"/>
        </w:tabs>
        <w:spacing w:line="288" w:lineRule="auto"/>
        <w:jc w:val="both"/>
        <w:rPr>
          <w:rFonts w:cs="Arial"/>
          <w:color w:val="000000" w:themeColor="text1"/>
          <w:sz w:val="24"/>
        </w:rPr>
      </w:pPr>
      <w:r w:rsidRPr="00467EB9">
        <w:rPr>
          <w:rFonts w:cs="Arial"/>
          <w:b/>
          <w:color w:val="000000" w:themeColor="text1"/>
          <w:sz w:val="24"/>
        </w:rPr>
        <w:t>Outcome</w:t>
      </w:r>
    </w:p>
    <w:p w14:paraId="57093479" w14:textId="77777777" w:rsidR="00D9136D" w:rsidRDefault="00D9136D" w:rsidP="00D9136D">
      <w:pPr>
        <w:pStyle w:val="ListParagraph"/>
        <w:tabs>
          <w:tab w:val="left" w:pos="426"/>
        </w:tabs>
        <w:spacing w:line="288" w:lineRule="auto"/>
        <w:ind w:left="360"/>
        <w:jc w:val="both"/>
        <w:rPr>
          <w:rFonts w:cs="Arial"/>
          <w:color w:val="000000" w:themeColor="text1"/>
          <w:szCs w:val="24"/>
        </w:rPr>
      </w:pPr>
    </w:p>
    <w:p w14:paraId="71482D13" w14:textId="1BDB0E25" w:rsidR="00380F55" w:rsidRPr="00884E62" w:rsidRDefault="00467EB9" w:rsidP="00884E62">
      <w:pPr>
        <w:pStyle w:val="ListParagraph"/>
        <w:numPr>
          <w:ilvl w:val="0"/>
          <w:numId w:val="2"/>
        </w:numPr>
        <w:tabs>
          <w:tab w:val="left" w:pos="426"/>
        </w:tabs>
        <w:spacing w:line="288" w:lineRule="auto"/>
        <w:ind w:left="360" w:hanging="426"/>
        <w:jc w:val="both"/>
        <w:rPr>
          <w:rFonts w:cs="Arial"/>
          <w:color w:val="000000" w:themeColor="text1"/>
          <w:szCs w:val="24"/>
        </w:rPr>
      </w:pPr>
      <w:r w:rsidRPr="00467EB9">
        <w:rPr>
          <w:rFonts w:cs="Arial"/>
          <w:color w:val="000000" w:themeColor="text1"/>
          <w:szCs w:val="24"/>
        </w:rPr>
        <w:t xml:space="preserve">The Appeal is dismissed. The Decision </w:t>
      </w:r>
      <w:r w:rsidR="00FB2D33">
        <w:rPr>
          <w:rFonts w:cs="Arial"/>
          <w:color w:val="000000" w:themeColor="text1"/>
          <w:szCs w:val="24"/>
        </w:rPr>
        <w:t>is</w:t>
      </w:r>
      <w:r w:rsidRPr="00467EB9">
        <w:rPr>
          <w:rFonts w:cs="Arial"/>
          <w:color w:val="000000" w:themeColor="text1"/>
          <w:szCs w:val="24"/>
        </w:rPr>
        <w:t xml:space="preserve"> confirmed.</w:t>
      </w:r>
    </w:p>
    <w:p w14:paraId="7D1F43CB" w14:textId="77777777" w:rsidR="00884E62" w:rsidRDefault="00884E62" w:rsidP="005E43B8">
      <w:pPr>
        <w:spacing w:line="288" w:lineRule="auto"/>
        <w:jc w:val="right"/>
        <w:rPr>
          <w:rFonts w:cs="Arial"/>
          <w:b/>
          <w:sz w:val="24"/>
        </w:rPr>
      </w:pPr>
    </w:p>
    <w:p w14:paraId="746839A4" w14:textId="4EE332C3" w:rsidR="009C2311" w:rsidRDefault="00DC78EE" w:rsidP="005E43B8">
      <w:pPr>
        <w:spacing w:line="288" w:lineRule="auto"/>
        <w:jc w:val="right"/>
        <w:rPr>
          <w:rFonts w:cs="Arial"/>
          <w:b/>
          <w:sz w:val="24"/>
        </w:rPr>
      </w:pPr>
      <w:r>
        <w:rPr>
          <w:rFonts w:cs="Arial"/>
          <w:b/>
          <w:sz w:val="24"/>
        </w:rPr>
        <w:t xml:space="preserve">SJW </w:t>
      </w:r>
      <w:r w:rsidR="00CE0734" w:rsidRPr="005E43B8">
        <w:rPr>
          <w:rFonts w:cs="Arial"/>
          <w:b/>
          <w:sz w:val="24"/>
        </w:rPr>
        <w:t>Lewis</w:t>
      </w:r>
    </w:p>
    <w:p w14:paraId="23A9C2E4" w14:textId="2E96823A" w:rsidR="00BF57C9" w:rsidRPr="005E43B8" w:rsidRDefault="00BF57C9" w:rsidP="005E43B8">
      <w:pPr>
        <w:spacing w:line="288" w:lineRule="auto"/>
        <w:jc w:val="right"/>
        <w:rPr>
          <w:rFonts w:cs="Arial"/>
          <w:b/>
          <w:sz w:val="24"/>
        </w:rPr>
      </w:pPr>
      <w:r>
        <w:rPr>
          <w:rFonts w:cs="Arial"/>
          <w:b/>
          <w:sz w:val="24"/>
        </w:rPr>
        <w:t>Tribunal Judge</w:t>
      </w:r>
    </w:p>
    <w:p w14:paraId="46264643" w14:textId="62F3DF63" w:rsidR="00CE0734" w:rsidRDefault="00BF57C9" w:rsidP="00751A6B">
      <w:pPr>
        <w:spacing w:line="288" w:lineRule="auto"/>
        <w:jc w:val="right"/>
        <w:rPr>
          <w:rFonts w:cs="Arial"/>
          <w:b/>
          <w:sz w:val="24"/>
        </w:rPr>
      </w:pPr>
      <w:r>
        <w:rPr>
          <w:rFonts w:cs="Arial"/>
          <w:b/>
          <w:sz w:val="24"/>
        </w:rPr>
        <w:t xml:space="preserve">Date Issued: </w:t>
      </w:r>
      <w:r w:rsidR="00380F55">
        <w:rPr>
          <w:rFonts w:cs="Arial"/>
          <w:b/>
          <w:sz w:val="24"/>
        </w:rPr>
        <w:t>2</w:t>
      </w:r>
      <w:r>
        <w:rPr>
          <w:rFonts w:cs="Arial"/>
          <w:b/>
          <w:sz w:val="24"/>
        </w:rPr>
        <w:t>7</w:t>
      </w:r>
      <w:r w:rsidR="00CE0734" w:rsidRPr="005E43B8">
        <w:rPr>
          <w:rFonts w:cs="Arial"/>
          <w:b/>
          <w:sz w:val="24"/>
        </w:rPr>
        <w:t xml:space="preserve"> </w:t>
      </w:r>
      <w:r w:rsidR="00380F55">
        <w:rPr>
          <w:rFonts w:cs="Arial"/>
          <w:b/>
          <w:sz w:val="24"/>
        </w:rPr>
        <w:t>August</w:t>
      </w:r>
      <w:r w:rsidR="00CE0734" w:rsidRPr="005E43B8">
        <w:rPr>
          <w:rFonts w:cs="Arial"/>
          <w:b/>
          <w:sz w:val="24"/>
        </w:rPr>
        <w:t xml:space="preserve"> 2025</w:t>
      </w:r>
    </w:p>
    <w:p w14:paraId="31C87C7E" w14:textId="77777777" w:rsidR="00FB2D33" w:rsidRDefault="00FB2D33" w:rsidP="0043628F">
      <w:pPr>
        <w:jc w:val="right"/>
        <w:rPr>
          <w:rFonts w:cs="Arial"/>
          <w:sz w:val="24"/>
        </w:rPr>
      </w:pPr>
    </w:p>
    <w:p w14:paraId="02525346" w14:textId="2F0F41C9" w:rsidR="004B6507" w:rsidRPr="0043628F" w:rsidRDefault="004B6507" w:rsidP="0043628F">
      <w:pPr>
        <w:jc w:val="right"/>
        <w:rPr>
          <w:rFonts w:cs="Arial"/>
          <w:sz w:val="24"/>
        </w:rPr>
      </w:pPr>
    </w:p>
    <w:sectPr w:rsidR="004B6507" w:rsidRPr="0043628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E7042" w14:textId="77777777" w:rsidR="00AF112F" w:rsidRDefault="00AF112F" w:rsidP="00EE0B24">
      <w:r>
        <w:separator/>
      </w:r>
    </w:p>
  </w:endnote>
  <w:endnote w:type="continuationSeparator" w:id="0">
    <w:p w14:paraId="60CD0928" w14:textId="77777777" w:rsidR="00AF112F" w:rsidRDefault="00AF112F" w:rsidP="00EE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Bold">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11626"/>
      <w:docPartObj>
        <w:docPartGallery w:val="Page Numbers (Bottom of Page)"/>
        <w:docPartUnique/>
      </w:docPartObj>
    </w:sdtPr>
    <w:sdtEndPr>
      <w:rPr>
        <w:noProof/>
      </w:rPr>
    </w:sdtEndPr>
    <w:sdtContent>
      <w:p w14:paraId="67CD4613" w14:textId="30E8F49A" w:rsidR="00EE0B24" w:rsidRDefault="00EE0B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28607C" w14:textId="77777777" w:rsidR="00EE0B24" w:rsidRDefault="00EE0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D8854" w14:textId="77777777" w:rsidR="00AF112F" w:rsidRDefault="00AF112F" w:rsidP="00EE0B24">
      <w:r>
        <w:separator/>
      </w:r>
    </w:p>
  </w:footnote>
  <w:footnote w:type="continuationSeparator" w:id="0">
    <w:p w14:paraId="64EE567C" w14:textId="77777777" w:rsidR="00AF112F" w:rsidRDefault="00AF112F" w:rsidP="00EE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E8E"/>
    <w:multiLevelType w:val="hybridMultilevel"/>
    <w:tmpl w:val="8320D184"/>
    <w:lvl w:ilvl="0" w:tplc="20360DD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41E1F64"/>
    <w:multiLevelType w:val="hybridMultilevel"/>
    <w:tmpl w:val="A93E1D4E"/>
    <w:lvl w:ilvl="0" w:tplc="BE1CDDD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B335904"/>
    <w:multiLevelType w:val="hybridMultilevel"/>
    <w:tmpl w:val="9AB6AB7A"/>
    <w:lvl w:ilvl="0" w:tplc="F4609EF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CA00B73"/>
    <w:multiLevelType w:val="hybridMultilevel"/>
    <w:tmpl w:val="4F66834E"/>
    <w:lvl w:ilvl="0" w:tplc="FEEC3C8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29C30AA"/>
    <w:multiLevelType w:val="hybridMultilevel"/>
    <w:tmpl w:val="6E3A0C6E"/>
    <w:lvl w:ilvl="0" w:tplc="DAE03BE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6835E11"/>
    <w:multiLevelType w:val="hybridMultilevel"/>
    <w:tmpl w:val="43D82844"/>
    <w:lvl w:ilvl="0" w:tplc="5E08F3A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B067DE3"/>
    <w:multiLevelType w:val="hybridMultilevel"/>
    <w:tmpl w:val="EFD69604"/>
    <w:lvl w:ilvl="0" w:tplc="20EA3B44">
      <w:start w:val="1"/>
      <w:numFmt w:val="lowerLetter"/>
      <w:lvlText w:val="(%1)"/>
      <w:lvlJc w:val="left"/>
      <w:pPr>
        <w:ind w:left="1830" w:hanging="39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D212102"/>
    <w:multiLevelType w:val="hybridMultilevel"/>
    <w:tmpl w:val="E2100D5C"/>
    <w:lvl w:ilvl="0" w:tplc="77EE5394">
      <w:start w:val="1"/>
      <w:numFmt w:val="lowerLetter"/>
      <w:lvlText w:val="(%1)"/>
      <w:lvlJc w:val="left"/>
      <w:pPr>
        <w:ind w:left="1221" w:hanging="360"/>
      </w:pPr>
      <w:rPr>
        <w:rFonts w:hint="default"/>
      </w:rPr>
    </w:lvl>
    <w:lvl w:ilvl="1" w:tplc="08090019" w:tentative="1">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8" w15:restartNumberingAfterBreak="0">
    <w:nsid w:val="20494ACA"/>
    <w:multiLevelType w:val="hybridMultilevel"/>
    <w:tmpl w:val="CE88EA08"/>
    <w:lvl w:ilvl="0" w:tplc="AB74FFFA">
      <w:start w:val="1"/>
      <w:numFmt w:val="lowerLetter"/>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1E91F5C"/>
    <w:multiLevelType w:val="hybridMultilevel"/>
    <w:tmpl w:val="E0EA021E"/>
    <w:lvl w:ilvl="0" w:tplc="F58A4D6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45A529F"/>
    <w:multiLevelType w:val="hybridMultilevel"/>
    <w:tmpl w:val="3112D890"/>
    <w:lvl w:ilvl="0" w:tplc="A6B2776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79773E1"/>
    <w:multiLevelType w:val="hybridMultilevel"/>
    <w:tmpl w:val="78469990"/>
    <w:lvl w:ilvl="0" w:tplc="73BEB85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AB354D5"/>
    <w:multiLevelType w:val="hybridMultilevel"/>
    <w:tmpl w:val="17466182"/>
    <w:lvl w:ilvl="0" w:tplc="2222B9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E510A"/>
    <w:multiLevelType w:val="hybridMultilevel"/>
    <w:tmpl w:val="9102977A"/>
    <w:lvl w:ilvl="0" w:tplc="EBBADD7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42ED4C34"/>
    <w:multiLevelType w:val="hybridMultilevel"/>
    <w:tmpl w:val="330A6254"/>
    <w:lvl w:ilvl="0" w:tplc="418633A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430014E1"/>
    <w:multiLevelType w:val="hybridMultilevel"/>
    <w:tmpl w:val="E47E3532"/>
    <w:lvl w:ilvl="0" w:tplc="7320F1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3F5A3B"/>
    <w:multiLevelType w:val="hybridMultilevel"/>
    <w:tmpl w:val="EC9CB95E"/>
    <w:lvl w:ilvl="0" w:tplc="74D0DF5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C7B4ADC"/>
    <w:multiLevelType w:val="hybridMultilevel"/>
    <w:tmpl w:val="E684D2DE"/>
    <w:lvl w:ilvl="0" w:tplc="69B4B42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583F3BA8"/>
    <w:multiLevelType w:val="hybridMultilevel"/>
    <w:tmpl w:val="AC42D8B8"/>
    <w:lvl w:ilvl="0" w:tplc="7CEE5B7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6627D2"/>
    <w:multiLevelType w:val="hybridMultilevel"/>
    <w:tmpl w:val="05A6F5F0"/>
    <w:lvl w:ilvl="0" w:tplc="FC9A550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694E3271"/>
    <w:multiLevelType w:val="hybridMultilevel"/>
    <w:tmpl w:val="150E0BCE"/>
    <w:lvl w:ilvl="0" w:tplc="069A941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6D9F4648"/>
    <w:multiLevelType w:val="hybridMultilevel"/>
    <w:tmpl w:val="5B568250"/>
    <w:lvl w:ilvl="0" w:tplc="A014B74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70EA05D4"/>
    <w:multiLevelType w:val="hybridMultilevel"/>
    <w:tmpl w:val="05EC779E"/>
    <w:lvl w:ilvl="0" w:tplc="7CEE5B7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4265BE"/>
    <w:multiLevelType w:val="hybridMultilevel"/>
    <w:tmpl w:val="5F92FD98"/>
    <w:lvl w:ilvl="0" w:tplc="61A8BF96">
      <w:start w:val="1"/>
      <w:numFmt w:val="decimal"/>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8B8761A"/>
    <w:multiLevelType w:val="hybridMultilevel"/>
    <w:tmpl w:val="B01E0556"/>
    <w:lvl w:ilvl="0" w:tplc="9DB817A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C150732"/>
    <w:multiLevelType w:val="hybridMultilevel"/>
    <w:tmpl w:val="AC42D8B8"/>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3452828">
    <w:abstractNumId w:val="22"/>
  </w:num>
  <w:num w:numId="2" w16cid:durableId="1752851252">
    <w:abstractNumId w:val="18"/>
  </w:num>
  <w:num w:numId="3" w16cid:durableId="682511249">
    <w:abstractNumId w:val="11"/>
  </w:num>
  <w:num w:numId="4" w16cid:durableId="43719786">
    <w:abstractNumId w:val="24"/>
  </w:num>
  <w:num w:numId="5" w16cid:durableId="117573374">
    <w:abstractNumId w:val="1"/>
  </w:num>
  <w:num w:numId="6" w16cid:durableId="521750767">
    <w:abstractNumId w:val="16"/>
  </w:num>
  <w:num w:numId="7" w16cid:durableId="1889411136">
    <w:abstractNumId w:val="2"/>
  </w:num>
  <w:num w:numId="8" w16cid:durableId="962922061">
    <w:abstractNumId w:val="4"/>
  </w:num>
  <w:num w:numId="9" w16cid:durableId="1510366634">
    <w:abstractNumId w:val="6"/>
  </w:num>
  <w:num w:numId="10" w16cid:durableId="1202396327">
    <w:abstractNumId w:val="9"/>
  </w:num>
  <w:num w:numId="11" w16cid:durableId="131558325">
    <w:abstractNumId w:val="10"/>
  </w:num>
  <w:num w:numId="12" w16cid:durableId="582682624">
    <w:abstractNumId w:val="12"/>
  </w:num>
  <w:num w:numId="13" w16cid:durableId="998659068">
    <w:abstractNumId w:val="15"/>
  </w:num>
  <w:num w:numId="14" w16cid:durableId="1557472178">
    <w:abstractNumId w:val="5"/>
  </w:num>
  <w:num w:numId="15" w16cid:durableId="108277175">
    <w:abstractNumId w:val="19"/>
  </w:num>
  <w:num w:numId="16" w16cid:durableId="1854294538">
    <w:abstractNumId w:val="14"/>
  </w:num>
  <w:num w:numId="17" w16cid:durableId="1411778351">
    <w:abstractNumId w:val="8"/>
  </w:num>
  <w:num w:numId="18" w16cid:durableId="106004021">
    <w:abstractNumId w:val="20"/>
  </w:num>
  <w:num w:numId="19" w16cid:durableId="972752093">
    <w:abstractNumId w:val="23"/>
  </w:num>
  <w:num w:numId="20" w16cid:durableId="2136293084">
    <w:abstractNumId w:val="7"/>
  </w:num>
  <w:num w:numId="21" w16cid:durableId="1558198721">
    <w:abstractNumId w:val="21"/>
  </w:num>
  <w:num w:numId="22" w16cid:durableId="2089955608">
    <w:abstractNumId w:val="17"/>
  </w:num>
  <w:num w:numId="23" w16cid:durableId="253393810">
    <w:abstractNumId w:val="13"/>
  </w:num>
  <w:num w:numId="24" w16cid:durableId="1091968191">
    <w:abstractNumId w:val="0"/>
  </w:num>
  <w:num w:numId="25" w16cid:durableId="746269294">
    <w:abstractNumId w:val="25"/>
  </w:num>
  <w:num w:numId="26" w16cid:durableId="32355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5546A4F-219E-4C82-982D-50BA9C5A3DC4}"/>
    <w:docVar w:name="dgnword-eventsink" w:val="2775473595312"/>
  </w:docVars>
  <w:rsids>
    <w:rsidRoot w:val="009C2311"/>
    <w:rsid w:val="0000224D"/>
    <w:rsid w:val="00004518"/>
    <w:rsid w:val="00005617"/>
    <w:rsid w:val="00026EF7"/>
    <w:rsid w:val="00035065"/>
    <w:rsid w:val="000354CF"/>
    <w:rsid w:val="0005351E"/>
    <w:rsid w:val="0005503A"/>
    <w:rsid w:val="00057DB2"/>
    <w:rsid w:val="00061BF5"/>
    <w:rsid w:val="00064774"/>
    <w:rsid w:val="000720D8"/>
    <w:rsid w:val="0007275A"/>
    <w:rsid w:val="000819CA"/>
    <w:rsid w:val="000820C2"/>
    <w:rsid w:val="000931C6"/>
    <w:rsid w:val="00093729"/>
    <w:rsid w:val="00094E0E"/>
    <w:rsid w:val="000A2F21"/>
    <w:rsid w:val="000A3B60"/>
    <w:rsid w:val="000A3B6C"/>
    <w:rsid w:val="000A3D9A"/>
    <w:rsid w:val="000A67E9"/>
    <w:rsid w:val="000C53E1"/>
    <w:rsid w:val="000C7461"/>
    <w:rsid w:val="000D49E5"/>
    <w:rsid w:val="000D7986"/>
    <w:rsid w:val="000E00A2"/>
    <w:rsid w:val="001005C9"/>
    <w:rsid w:val="00100C02"/>
    <w:rsid w:val="0010174A"/>
    <w:rsid w:val="00102305"/>
    <w:rsid w:val="00105765"/>
    <w:rsid w:val="0010586A"/>
    <w:rsid w:val="00120313"/>
    <w:rsid w:val="00126FF2"/>
    <w:rsid w:val="001311BE"/>
    <w:rsid w:val="001328E6"/>
    <w:rsid w:val="001365AD"/>
    <w:rsid w:val="00147BF8"/>
    <w:rsid w:val="00151F61"/>
    <w:rsid w:val="00155A84"/>
    <w:rsid w:val="00157E0F"/>
    <w:rsid w:val="001667A7"/>
    <w:rsid w:val="00177B00"/>
    <w:rsid w:val="00180053"/>
    <w:rsid w:val="0018076B"/>
    <w:rsid w:val="00180DB1"/>
    <w:rsid w:val="001A7F68"/>
    <w:rsid w:val="001B435C"/>
    <w:rsid w:val="001C4324"/>
    <w:rsid w:val="001C75DB"/>
    <w:rsid w:val="001C7A3B"/>
    <w:rsid w:val="001D2479"/>
    <w:rsid w:val="001D6BFC"/>
    <w:rsid w:val="001D7A50"/>
    <w:rsid w:val="001D7AB5"/>
    <w:rsid w:val="001E3FCC"/>
    <w:rsid w:val="001E7B92"/>
    <w:rsid w:val="001F4A19"/>
    <w:rsid w:val="00203BE6"/>
    <w:rsid w:val="00204BC6"/>
    <w:rsid w:val="0022590A"/>
    <w:rsid w:val="00251AA2"/>
    <w:rsid w:val="00253F5B"/>
    <w:rsid w:val="002605D7"/>
    <w:rsid w:val="00261CAC"/>
    <w:rsid w:val="002830D7"/>
    <w:rsid w:val="00291A4F"/>
    <w:rsid w:val="002951F7"/>
    <w:rsid w:val="002A19F9"/>
    <w:rsid w:val="002A2024"/>
    <w:rsid w:val="002B3C26"/>
    <w:rsid w:val="002B44B8"/>
    <w:rsid w:val="002B7671"/>
    <w:rsid w:val="002C11FC"/>
    <w:rsid w:val="002C42FB"/>
    <w:rsid w:val="002C6684"/>
    <w:rsid w:val="002D4C68"/>
    <w:rsid w:val="002E0922"/>
    <w:rsid w:val="002E3C9B"/>
    <w:rsid w:val="002F21FB"/>
    <w:rsid w:val="00320C56"/>
    <w:rsid w:val="003220CB"/>
    <w:rsid w:val="00331B85"/>
    <w:rsid w:val="00363AB9"/>
    <w:rsid w:val="003672B3"/>
    <w:rsid w:val="003723EF"/>
    <w:rsid w:val="003758DD"/>
    <w:rsid w:val="003807FC"/>
    <w:rsid w:val="00380F55"/>
    <w:rsid w:val="00390EF1"/>
    <w:rsid w:val="00396B2A"/>
    <w:rsid w:val="00397CD9"/>
    <w:rsid w:val="003A5ABC"/>
    <w:rsid w:val="003B3144"/>
    <w:rsid w:val="003B64CE"/>
    <w:rsid w:val="003C2C38"/>
    <w:rsid w:val="003C6E0C"/>
    <w:rsid w:val="003C725A"/>
    <w:rsid w:val="003E2D5F"/>
    <w:rsid w:val="004031A1"/>
    <w:rsid w:val="00406FB4"/>
    <w:rsid w:val="00413EA1"/>
    <w:rsid w:val="004163AD"/>
    <w:rsid w:val="004167B7"/>
    <w:rsid w:val="00417E5E"/>
    <w:rsid w:val="00422B89"/>
    <w:rsid w:val="00432762"/>
    <w:rsid w:val="00435487"/>
    <w:rsid w:val="0043628F"/>
    <w:rsid w:val="004365B7"/>
    <w:rsid w:val="00436AC2"/>
    <w:rsid w:val="00441FD3"/>
    <w:rsid w:val="00443669"/>
    <w:rsid w:val="004541CF"/>
    <w:rsid w:val="004668E4"/>
    <w:rsid w:val="00467EB9"/>
    <w:rsid w:val="004A0E78"/>
    <w:rsid w:val="004A7DF9"/>
    <w:rsid w:val="004B6507"/>
    <w:rsid w:val="004C4D68"/>
    <w:rsid w:val="005155C2"/>
    <w:rsid w:val="00517B57"/>
    <w:rsid w:val="00537F1B"/>
    <w:rsid w:val="005448C5"/>
    <w:rsid w:val="00547439"/>
    <w:rsid w:val="00552DA0"/>
    <w:rsid w:val="00564AC4"/>
    <w:rsid w:val="00575872"/>
    <w:rsid w:val="00586771"/>
    <w:rsid w:val="00590762"/>
    <w:rsid w:val="00592742"/>
    <w:rsid w:val="00594A97"/>
    <w:rsid w:val="005A4D7D"/>
    <w:rsid w:val="005B399D"/>
    <w:rsid w:val="005C0BD5"/>
    <w:rsid w:val="005C3725"/>
    <w:rsid w:val="005E00CE"/>
    <w:rsid w:val="005E43B8"/>
    <w:rsid w:val="005E5628"/>
    <w:rsid w:val="005F0C36"/>
    <w:rsid w:val="005F219C"/>
    <w:rsid w:val="005F29F8"/>
    <w:rsid w:val="00614BA3"/>
    <w:rsid w:val="00615DB4"/>
    <w:rsid w:val="00616E31"/>
    <w:rsid w:val="006445F2"/>
    <w:rsid w:val="00644942"/>
    <w:rsid w:val="00656756"/>
    <w:rsid w:val="006626BA"/>
    <w:rsid w:val="00690A7D"/>
    <w:rsid w:val="006959D6"/>
    <w:rsid w:val="006A007D"/>
    <w:rsid w:val="006A6EDA"/>
    <w:rsid w:val="006B4C5D"/>
    <w:rsid w:val="006B7260"/>
    <w:rsid w:val="006C057C"/>
    <w:rsid w:val="006C0687"/>
    <w:rsid w:val="006C104B"/>
    <w:rsid w:val="006C27E6"/>
    <w:rsid w:val="006D060D"/>
    <w:rsid w:val="006D2C9F"/>
    <w:rsid w:val="006D513D"/>
    <w:rsid w:val="006D64F5"/>
    <w:rsid w:val="006E770B"/>
    <w:rsid w:val="006F3949"/>
    <w:rsid w:val="006F55C9"/>
    <w:rsid w:val="00712A95"/>
    <w:rsid w:val="00722A65"/>
    <w:rsid w:val="007275FA"/>
    <w:rsid w:val="007314E2"/>
    <w:rsid w:val="007327F2"/>
    <w:rsid w:val="0073316C"/>
    <w:rsid w:val="00740185"/>
    <w:rsid w:val="00746E12"/>
    <w:rsid w:val="00746F71"/>
    <w:rsid w:val="00747523"/>
    <w:rsid w:val="00751A6B"/>
    <w:rsid w:val="00760E21"/>
    <w:rsid w:val="00770946"/>
    <w:rsid w:val="00772B06"/>
    <w:rsid w:val="00773C3A"/>
    <w:rsid w:val="00773DF1"/>
    <w:rsid w:val="0078060F"/>
    <w:rsid w:val="00790117"/>
    <w:rsid w:val="00793689"/>
    <w:rsid w:val="00793B4E"/>
    <w:rsid w:val="0079708B"/>
    <w:rsid w:val="007A1BC8"/>
    <w:rsid w:val="007A3FD5"/>
    <w:rsid w:val="007A5E56"/>
    <w:rsid w:val="007A6A6C"/>
    <w:rsid w:val="007A7B94"/>
    <w:rsid w:val="007E7E5F"/>
    <w:rsid w:val="007F4CF6"/>
    <w:rsid w:val="00801FFD"/>
    <w:rsid w:val="008114C8"/>
    <w:rsid w:val="008146D3"/>
    <w:rsid w:val="008220CE"/>
    <w:rsid w:val="00824CBF"/>
    <w:rsid w:val="0083485B"/>
    <w:rsid w:val="008353EF"/>
    <w:rsid w:val="00854795"/>
    <w:rsid w:val="008570F6"/>
    <w:rsid w:val="00861D98"/>
    <w:rsid w:val="00884E62"/>
    <w:rsid w:val="00893C37"/>
    <w:rsid w:val="0089675D"/>
    <w:rsid w:val="0089679E"/>
    <w:rsid w:val="00897B52"/>
    <w:rsid w:val="008A1EF9"/>
    <w:rsid w:val="008B04C7"/>
    <w:rsid w:val="008C7CE9"/>
    <w:rsid w:val="008F3167"/>
    <w:rsid w:val="008F368F"/>
    <w:rsid w:val="009012D1"/>
    <w:rsid w:val="0090667C"/>
    <w:rsid w:val="00917BA8"/>
    <w:rsid w:val="0092231C"/>
    <w:rsid w:val="00931C22"/>
    <w:rsid w:val="00933048"/>
    <w:rsid w:val="00940ABA"/>
    <w:rsid w:val="00940E28"/>
    <w:rsid w:val="00946624"/>
    <w:rsid w:val="009735BF"/>
    <w:rsid w:val="009830C3"/>
    <w:rsid w:val="00986408"/>
    <w:rsid w:val="00994767"/>
    <w:rsid w:val="009960DF"/>
    <w:rsid w:val="009B361E"/>
    <w:rsid w:val="009C2311"/>
    <w:rsid w:val="009D2F47"/>
    <w:rsid w:val="009D46E9"/>
    <w:rsid w:val="009E303D"/>
    <w:rsid w:val="009F7635"/>
    <w:rsid w:val="009F77F1"/>
    <w:rsid w:val="009F7AD6"/>
    <w:rsid w:val="00A00D5C"/>
    <w:rsid w:val="00A07DEC"/>
    <w:rsid w:val="00A337D7"/>
    <w:rsid w:val="00A4287F"/>
    <w:rsid w:val="00A42A06"/>
    <w:rsid w:val="00A437EE"/>
    <w:rsid w:val="00A44549"/>
    <w:rsid w:val="00A54394"/>
    <w:rsid w:val="00A72AD4"/>
    <w:rsid w:val="00A7662B"/>
    <w:rsid w:val="00A85FCD"/>
    <w:rsid w:val="00A866DF"/>
    <w:rsid w:val="00A86AAD"/>
    <w:rsid w:val="00A873C4"/>
    <w:rsid w:val="00A878C8"/>
    <w:rsid w:val="00A87BA6"/>
    <w:rsid w:val="00A9051D"/>
    <w:rsid w:val="00A956A2"/>
    <w:rsid w:val="00A96A29"/>
    <w:rsid w:val="00AA536A"/>
    <w:rsid w:val="00AB5569"/>
    <w:rsid w:val="00AC51DE"/>
    <w:rsid w:val="00AC751A"/>
    <w:rsid w:val="00AD02FB"/>
    <w:rsid w:val="00AD06AD"/>
    <w:rsid w:val="00AD47D2"/>
    <w:rsid w:val="00AE5BA3"/>
    <w:rsid w:val="00AF112F"/>
    <w:rsid w:val="00AF1F29"/>
    <w:rsid w:val="00B063C1"/>
    <w:rsid w:val="00B07542"/>
    <w:rsid w:val="00B10C27"/>
    <w:rsid w:val="00B119F4"/>
    <w:rsid w:val="00B123FB"/>
    <w:rsid w:val="00B22DF5"/>
    <w:rsid w:val="00B42E73"/>
    <w:rsid w:val="00B53CFE"/>
    <w:rsid w:val="00B5481E"/>
    <w:rsid w:val="00B56C1C"/>
    <w:rsid w:val="00B577C2"/>
    <w:rsid w:val="00B8025B"/>
    <w:rsid w:val="00B94AD8"/>
    <w:rsid w:val="00BB601C"/>
    <w:rsid w:val="00BC14DD"/>
    <w:rsid w:val="00BC57DE"/>
    <w:rsid w:val="00BE4E6B"/>
    <w:rsid w:val="00BF57C9"/>
    <w:rsid w:val="00C10765"/>
    <w:rsid w:val="00C14667"/>
    <w:rsid w:val="00C27213"/>
    <w:rsid w:val="00C34D2D"/>
    <w:rsid w:val="00C41010"/>
    <w:rsid w:val="00C5430C"/>
    <w:rsid w:val="00C60AEB"/>
    <w:rsid w:val="00C64FBE"/>
    <w:rsid w:val="00C67C83"/>
    <w:rsid w:val="00CA7EAC"/>
    <w:rsid w:val="00CB0077"/>
    <w:rsid w:val="00CB5038"/>
    <w:rsid w:val="00CB7D2B"/>
    <w:rsid w:val="00CC1888"/>
    <w:rsid w:val="00CE0734"/>
    <w:rsid w:val="00CE6B66"/>
    <w:rsid w:val="00D22467"/>
    <w:rsid w:val="00D2465B"/>
    <w:rsid w:val="00D27A7B"/>
    <w:rsid w:val="00D3270D"/>
    <w:rsid w:val="00D3319A"/>
    <w:rsid w:val="00D55021"/>
    <w:rsid w:val="00D6100E"/>
    <w:rsid w:val="00D621BE"/>
    <w:rsid w:val="00D62E27"/>
    <w:rsid w:val="00D758D2"/>
    <w:rsid w:val="00D77BDE"/>
    <w:rsid w:val="00D77F5E"/>
    <w:rsid w:val="00D9136D"/>
    <w:rsid w:val="00D929F1"/>
    <w:rsid w:val="00D942D1"/>
    <w:rsid w:val="00D95429"/>
    <w:rsid w:val="00D95E24"/>
    <w:rsid w:val="00D96BA8"/>
    <w:rsid w:val="00D97BD5"/>
    <w:rsid w:val="00DC78EE"/>
    <w:rsid w:val="00DC7AA8"/>
    <w:rsid w:val="00DD78EF"/>
    <w:rsid w:val="00DE1146"/>
    <w:rsid w:val="00DE57EF"/>
    <w:rsid w:val="00E00A3A"/>
    <w:rsid w:val="00E027DC"/>
    <w:rsid w:val="00E0528B"/>
    <w:rsid w:val="00E05D98"/>
    <w:rsid w:val="00E270B1"/>
    <w:rsid w:val="00E34967"/>
    <w:rsid w:val="00E36E15"/>
    <w:rsid w:val="00E40ABA"/>
    <w:rsid w:val="00E56996"/>
    <w:rsid w:val="00E61F58"/>
    <w:rsid w:val="00E62012"/>
    <w:rsid w:val="00E62815"/>
    <w:rsid w:val="00E628EC"/>
    <w:rsid w:val="00E83B51"/>
    <w:rsid w:val="00E869DB"/>
    <w:rsid w:val="00E87B63"/>
    <w:rsid w:val="00E930A4"/>
    <w:rsid w:val="00E9614D"/>
    <w:rsid w:val="00EA5033"/>
    <w:rsid w:val="00EA79E3"/>
    <w:rsid w:val="00EC2803"/>
    <w:rsid w:val="00EC2E6A"/>
    <w:rsid w:val="00EC2FEE"/>
    <w:rsid w:val="00EC7404"/>
    <w:rsid w:val="00ED0DB2"/>
    <w:rsid w:val="00ED436F"/>
    <w:rsid w:val="00ED45D9"/>
    <w:rsid w:val="00ED5D0F"/>
    <w:rsid w:val="00ED6D3B"/>
    <w:rsid w:val="00ED7785"/>
    <w:rsid w:val="00EE0B24"/>
    <w:rsid w:val="00EE6C7B"/>
    <w:rsid w:val="00EF0D92"/>
    <w:rsid w:val="00EF1CBC"/>
    <w:rsid w:val="00EF4327"/>
    <w:rsid w:val="00EF741B"/>
    <w:rsid w:val="00F04C43"/>
    <w:rsid w:val="00F13186"/>
    <w:rsid w:val="00F14422"/>
    <w:rsid w:val="00F17F84"/>
    <w:rsid w:val="00F26534"/>
    <w:rsid w:val="00F26B08"/>
    <w:rsid w:val="00F26EC6"/>
    <w:rsid w:val="00F30E00"/>
    <w:rsid w:val="00F42AA5"/>
    <w:rsid w:val="00F63F9B"/>
    <w:rsid w:val="00F71AD9"/>
    <w:rsid w:val="00F862FE"/>
    <w:rsid w:val="00F912EF"/>
    <w:rsid w:val="00F91FFC"/>
    <w:rsid w:val="00F92711"/>
    <w:rsid w:val="00F96DA8"/>
    <w:rsid w:val="00FA0B6B"/>
    <w:rsid w:val="00FA189D"/>
    <w:rsid w:val="00FA1D5D"/>
    <w:rsid w:val="00FA7AA1"/>
    <w:rsid w:val="00FB2D33"/>
    <w:rsid w:val="00FB6610"/>
    <w:rsid w:val="00FC6D59"/>
    <w:rsid w:val="00FD06DC"/>
    <w:rsid w:val="00FD16F1"/>
    <w:rsid w:val="00FD4361"/>
    <w:rsid w:val="00FD4AE8"/>
    <w:rsid w:val="00FD60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E83A"/>
  <w15:chartTrackingRefBased/>
  <w15:docId w15:val="{F58B1BFB-7357-4063-B2F3-FE38EF50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C3"/>
    <w:pPr>
      <w:spacing w:after="0" w:line="240" w:lineRule="auto"/>
    </w:pPr>
    <w:rPr>
      <w:rFonts w:ascii="Arial" w:eastAsia="ヒラギノ角ゴ Pro W3" w:hAnsi="Arial"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 A"/>
    <w:next w:val="Normal"/>
    <w:rsid w:val="009C2311"/>
    <w:pPr>
      <w:keepNext/>
      <w:spacing w:after="0" w:line="240" w:lineRule="auto"/>
      <w:jc w:val="right"/>
      <w:outlineLvl w:val="0"/>
    </w:pPr>
    <w:rPr>
      <w:rFonts w:ascii="Arial Bold" w:eastAsia="ヒラギノ角ゴ Pro W3" w:hAnsi="Arial Bold" w:cs="Times New Roman"/>
      <w:color w:val="000000"/>
      <w:szCs w:val="20"/>
      <w:lang w:eastAsia="en-GB"/>
    </w:rPr>
  </w:style>
  <w:style w:type="paragraph" w:customStyle="1" w:styleId="Heading3A">
    <w:name w:val="Heading 3 A"/>
    <w:next w:val="Normal"/>
    <w:rsid w:val="009C2311"/>
    <w:pPr>
      <w:keepNext/>
      <w:spacing w:after="0" w:line="240" w:lineRule="auto"/>
      <w:jc w:val="center"/>
      <w:outlineLvl w:val="2"/>
    </w:pPr>
    <w:rPr>
      <w:rFonts w:ascii="Arial Bold" w:eastAsia="ヒラギノ角ゴ Pro W3" w:hAnsi="Arial Bold" w:cs="Times New Roman"/>
      <w:color w:val="000000"/>
      <w:sz w:val="24"/>
      <w:szCs w:val="20"/>
      <w:lang w:eastAsia="en-GB"/>
    </w:rPr>
  </w:style>
  <w:style w:type="paragraph" w:styleId="ListParagraph">
    <w:name w:val="List Paragraph"/>
    <w:basedOn w:val="Normal"/>
    <w:uiPriority w:val="34"/>
    <w:qFormat/>
    <w:rsid w:val="007275FA"/>
    <w:pPr>
      <w:widowControl w:val="0"/>
      <w:overflowPunct w:val="0"/>
      <w:autoSpaceDE w:val="0"/>
      <w:autoSpaceDN w:val="0"/>
      <w:adjustRightInd w:val="0"/>
      <w:ind w:left="720"/>
    </w:pPr>
    <w:rPr>
      <w:rFonts w:eastAsia="Times New Roman"/>
      <w:color w:val="auto"/>
      <w:sz w:val="24"/>
      <w:szCs w:val="20"/>
    </w:rPr>
  </w:style>
  <w:style w:type="paragraph" w:customStyle="1" w:styleId="Default">
    <w:name w:val="Default"/>
    <w:rsid w:val="007275FA"/>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F30E00"/>
    <w:rPr>
      <w:color w:val="0563C1" w:themeColor="hyperlink"/>
      <w:u w:val="single"/>
    </w:rPr>
  </w:style>
  <w:style w:type="character" w:styleId="UnresolvedMention">
    <w:name w:val="Unresolved Mention"/>
    <w:basedOn w:val="DefaultParagraphFont"/>
    <w:uiPriority w:val="99"/>
    <w:semiHidden/>
    <w:unhideWhenUsed/>
    <w:rsid w:val="00F30E00"/>
    <w:rPr>
      <w:color w:val="605E5C"/>
      <w:shd w:val="clear" w:color="auto" w:fill="E1DFDD"/>
    </w:rPr>
  </w:style>
  <w:style w:type="paragraph" w:styleId="Header">
    <w:name w:val="header"/>
    <w:basedOn w:val="Normal"/>
    <w:link w:val="HeaderChar"/>
    <w:uiPriority w:val="99"/>
    <w:unhideWhenUsed/>
    <w:rsid w:val="00EE0B24"/>
    <w:pPr>
      <w:tabs>
        <w:tab w:val="center" w:pos="4513"/>
        <w:tab w:val="right" w:pos="9026"/>
      </w:tabs>
    </w:pPr>
  </w:style>
  <w:style w:type="character" w:customStyle="1" w:styleId="HeaderChar">
    <w:name w:val="Header Char"/>
    <w:basedOn w:val="DefaultParagraphFont"/>
    <w:link w:val="Header"/>
    <w:uiPriority w:val="99"/>
    <w:rsid w:val="00EE0B24"/>
    <w:rPr>
      <w:rFonts w:ascii="Arial" w:eastAsia="ヒラギノ角ゴ Pro W3" w:hAnsi="Arial" w:cs="Times New Roman"/>
      <w:color w:val="000000"/>
      <w:szCs w:val="24"/>
    </w:rPr>
  </w:style>
  <w:style w:type="paragraph" w:styleId="Footer">
    <w:name w:val="footer"/>
    <w:basedOn w:val="Normal"/>
    <w:link w:val="FooterChar"/>
    <w:uiPriority w:val="99"/>
    <w:unhideWhenUsed/>
    <w:rsid w:val="00EE0B24"/>
    <w:pPr>
      <w:tabs>
        <w:tab w:val="center" w:pos="4513"/>
        <w:tab w:val="right" w:pos="9026"/>
      </w:tabs>
    </w:pPr>
  </w:style>
  <w:style w:type="character" w:customStyle="1" w:styleId="FooterChar">
    <w:name w:val="Footer Char"/>
    <w:basedOn w:val="DefaultParagraphFont"/>
    <w:link w:val="Footer"/>
    <w:uiPriority w:val="99"/>
    <w:rsid w:val="00EE0B24"/>
    <w:rPr>
      <w:rFonts w:ascii="Arial" w:eastAsia="ヒラギノ角ゴ Pro W3" w:hAnsi="Arial" w:cs="Times New Roman"/>
      <w:color w:val="000000"/>
      <w:szCs w:val="24"/>
    </w:rPr>
  </w:style>
  <w:style w:type="paragraph" w:styleId="Revision">
    <w:name w:val="Revision"/>
    <w:hidden/>
    <w:uiPriority w:val="99"/>
    <w:semiHidden/>
    <w:rsid w:val="00893C37"/>
    <w:pPr>
      <w:spacing w:after="0" w:line="240" w:lineRule="auto"/>
    </w:pPr>
    <w:rPr>
      <w:rFonts w:ascii="Arial" w:eastAsia="ヒラギノ角ゴ Pro W3" w:hAnsi="Arial" w:cs="Times New Roman"/>
      <w:color w:val="000000"/>
      <w:szCs w:val="24"/>
    </w:rPr>
  </w:style>
  <w:style w:type="character" w:styleId="CommentReference">
    <w:name w:val="annotation reference"/>
    <w:basedOn w:val="DefaultParagraphFont"/>
    <w:uiPriority w:val="99"/>
    <w:semiHidden/>
    <w:unhideWhenUsed/>
    <w:rsid w:val="00893C37"/>
    <w:rPr>
      <w:sz w:val="16"/>
      <w:szCs w:val="16"/>
    </w:rPr>
  </w:style>
  <w:style w:type="paragraph" w:styleId="CommentText">
    <w:name w:val="annotation text"/>
    <w:basedOn w:val="Normal"/>
    <w:link w:val="CommentTextChar"/>
    <w:uiPriority w:val="99"/>
    <w:semiHidden/>
    <w:unhideWhenUsed/>
    <w:rsid w:val="00893C37"/>
    <w:rPr>
      <w:sz w:val="20"/>
      <w:szCs w:val="20"/>
    </w:rPr>
  </w:style>
  <w:style w:type="character" w:customStyle="1" w:styleId="CommentTextChar">
    <w:name w:val="Comment Text Char"/>
    <w:basedOn w:val="DefaultParagraphFont"/>
    <w:link w:val="CommentText"/>
    <w:uiPriority w:val="99"/>
    <w:semiHidden/>
    <w:rsid w:val="00893C37"/>
    <w:rPr>
      <w:rFonts w:ascii="Arial" w:eastAsia="ヒラギノ角ゴ Pro W3"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93C37"/>
    <w:rPr>
      <w:b/>
      <w:bCs/>
    </w:rPr>
  </w:style>
  <w:style w:type="character" w:customStyle="1" w:styleId="CommentSubjectChar">
    <w:name w:val="Comment Subject Char"/>
    <w:basedOn w:val="CommentTextChar"/>
    <w:link w:val="CommentSubject"/>
    <w:uiPriority w:val="99"/>
    <w:semiHidden/>
    <w:rsid w:val="00893C37"/>
    <w:rPr>
      <w:rFonts w:ascii="Arial" w:eastAsia="ヒラギノ角ゴ Pro W3" w:hAnsi="Arial"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7325">
      <w:bodyDiv w:val="1"/>
      <w:marLeft w:val="0"/>
      <w:marRight w:val="0"/>
      <w:marTop w:val="0"/>
      <w:marBottom w:val="0"/>
      <w:divBdr>
        <w:top w:val="none" w:sz="0" w:space="0" w:color="auto"/>
        <w:left w:val="none" w:sz="0" w:space="0" w:color="auto"/>
        <w:bottom w:val="none" w:sz="0" w:space="0" w:color="auto"/>
        <w:right w:val="none" w:sz="0" w:space="0" w:color="auto"/>
      </w:divBdr>
    </w:div>
    <w:div w:id="570773262">
      <w:bodyDiv w:val="1"/>
      <w:marLeft w:val="0"/>
      <w:marRight w:val="0"/>
      <w:marTop w:val="0"/>
      <w:marBottom w:val="0"/>
      <w:divBdr>
        <w:top w:val="none" w:sz="0" w:space="0" w:color="auto"/>
        <w:left w:val="none" w:sz="0" w:space="0" w:color="auto"/>
        <w:bottom w:val="none" w:sz="0" w:space="0" w:color="auto"/>
        <w:right w:val="none" w:sz="0" w:space="0" w:color="auto"/>
      </w:divBdr>
    </w:div>
    <w:div w:id="919095030">
      <w:bodyDiv w:val="1"/>
      <w:marLeft w:val="0"/>
      <w:marRight w:val="0"/>
      <w:marTop w:val="0"/>
      <w:marBottom w:val="0"/>
      <w:divBdr>
        <w:top w:val="none" w:sz="0" w:space="0" w:color="auto"/>
        <w:left w:val="none" w:sz="0" w:space="0" w:color="auto"/>
        <w:bottom w:val="none" w:sz="0" w:space="0" w:color="auto"/>
        <w:right w:val="none" w:sz="0" w:space="0" w:color="auto"/>
      </w:divBdr>
    </w:div>
    <w:div w:id="1277835101">
      <w:bodyDiv w:val="1"/>
      <w:marLeft w:val="0"/>
      <w:marRight w:val="0"/>
      <w:marTop w:val="0"/>
      <w:marBottom w:val="0"/>
      <w:divBdr>
        <w:top w:val="none" w:sz="0" w:space="0" w:color="auto"/>
        <w:left w:val="none" w:sz="0" w:space="0" w:color="auto"/>
        <w:bottom w:val="none" w:sz="0" w:space="0" w:color="auto"/>
        <w:right w:val="none" w:sz="0" w:space="0" w:color="auto"/>
      </w:divBdr>
    </w:div>
    <w:div w:id="1455755515">
      <w:bodyDiv w:val="1"/>
      <w:marLeft w:val="0"/>
      <w:marRight w:val="0"/>
      <w:marTop w:val="0"/>
      <w:marBottom w:val="0"/>
      <w:divBdr>
        <w:top w:val="none" w:sz="0" w:space="0" w:color="auto"/>
        <w:left w:val="none" w:sz="0" w:space="0" w:color="auto"/>
        <w:bottom w:val="none" w:sz="0" w:space="0" w:color="auto"/>
        <w:right w:val="none" w:sz="0" w:space="0" w:color="auto"/>
      </w:divBdr>
    </w:div>
    <w:div w:id="17538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5C5B6F449F21428FB0291213DBF516" ma:contentTypeVersion="2" ma:contentTypeDescription="Create a new document." ma:contentTypeScope="" ma:versionID="1ce981bc82d0c8f1fa7275bce51eef27">
  <xsd:schema xmlns:xsd="http://www.w3.org/2001/XMLSchema" xmlns:xs="http://www.w3.org/2001/XMLSchema" xmlns:p="http://schemas.microsoft.com/office/2006/metadata/properties" xmlns:ns2="b80cc10e-79d6-4864-9d38-29c26703b59b" targetNamespace="http://schemas.microsoft.com/office/2006/metadata/properties" ma:root="true" ma:fieldsID="004cd2622b7838543baedc83781c0235" ns2:_="">
    <xsd:import namespace="b80cc10e-79d6-4864-9d38-29c26703b5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cc10e-79d6-4864-9d38-29c26703b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AC62E-05CC-4178-9464-0470DA69D08A}">
  <ds:schemaRefs>
    <ds:schemaRef ds:uri="http://schemas.openxmlformats.org/officeDocument/2006/bibliography"/>
  </ds:schemaRefs>
</ds:datastoreItem>
</file>

<file path=customXml/itemProps2.xml><?xml version="1.0" encoding="utf-8"?>
<ds:datastoreItem xmlns:ds="http://schemas.openxmlformats.org/officeDocument/2006/customXml" ds:itemID="{30BEAE4A-7DAF-420E-B5CF-9D607F6AE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cc10e-79d6-4864-9d38-29c26703b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77D0B-73B3-4FE1-AB67-F08514EC4468}">
  <ds:schemaRefs>
    <ds:schemaRef ds:uri="http://purl.org/dc/terms/"/>
    <ds:schemaRef ds:uri="http://schemas.microsoft.com/office/2006/documentManagement/types"/>
    <ds:schemaRef ds:uri="b80cc10e-79d6-4864-9d38-29c26703b59b"/>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F39F630-F2F0-487F-88CF-7FE1A1B67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4927</Words>
  <Characters>28088</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Sarah</dc:creator>
  <cp:keywords/>
  <dc:description/>
  <cp:lastModifiedBy>Jessica Langstaff</cp:lastModifiedBy>
  <cp:revision>2</cp:revision>
  <cp:lastPrinted>2025-08-27T08:45:00Z</cp:lastPrinted>
  <dcterms:created xsi:type="dcterms:W3CDTF">2025-08-27T10:10:00Z</dcterms:created>
  <dcterms:modified xsi:type="dcterms:W3CDTF">2025-08-27T10:10:00Z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0x0101002B5C5B6F449F21428FB0291213DBF516</vt:lpwstr>
  </property>
</Properties>
</file>